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1a8d584f342034114b9174821f7deff5b7d34f"/>
    <w:p>
      <w:pPr>
        <w:pStyle w:val="Heading1"/>
      </w:pPr>
      <w:r>
        <w:t xml:space="preserve">Stanley Black &amp; Decker (SWK)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8:00 AM ET</w:t>
      </w:r>
    </w:p>
    <w:p>
      <w:r>
        <w:pict>
          <v:rect style="width:0;height:1.5pt" o:hralign="center" o:hrstd="t" o:hr="t"/>
        </w:pict>
      </w:r>
    </w:p>
    <w:bookmarkStart w:id="9" w:name="setup-a-big-rally-raises-the-bar"/>
    <w:p>
      <w:pPr>
        <w:pStyle w:val="Heading2"/>
      </w:pPr>
      <w:r>
        <w:t xml:space="preserve">Setup: A Big Rally Raises the Bar</w:t>
      </w:r>
    </w:p>
    <w:p>
      <w:pPr>
        <w:pStyle w:val="FirstParagraph"/>
      </w:pPr>
      <w:r>
        <w:t xml:space="preserve">SWK shares have had a remarkable run into this print, climbing from roughly $76 in early January to around $94 by July 28 — a rally that accelerated sharply after the CAM divestiture closed and gathered further steam through June and July. That means the stock enters earnings</w:t>
      </w:r>
      <w:r>
        <w:t xml:space="preserve"> </w:t>
      </w:r>
      <w:r>
        <w:rPr>
          <w:b/>
          <w:bCs/>
        </w:rPr>
        <w:t xml:space="preserve">trading above</w:t>
      </w:r>
      <w:r>
        <w:t xml:space="preserve"> </w:t>
      </w:r>
      <w:r>
        <w:t xml:space="preserve">the average sell-side price target of roughly</w:t>
      </w:r>
      <w:r>
        <w:t xml:space="preserve"> </w:t>
      </w:r>
      <m:oMath>
        <m:r>
          <m:t>88</m:t>
        </m:r>
        <m:r>
          <m:rPr>
            <m:sty m:val="p"/>
          </m:rPr>
          <m:t>–</m:t>
        </m:r>
      </m:oMath>
      <w:r>
        <w:t xml:space="preserve">92, and well above some analysts' more conservative targets (Baird $84, Morgan Stanley $84, Wells Fargo $90). A "good enough" quarter may no longer be good enough — the market appears to be pricing in continued execution on margin recovery and a cleaner growth story.</w:t>
      </w:r>
    </w:p>
    <w:p>
      <w:pPr>
        <w:pStyle w:val="BodyText"/>
      </w:pPr>
      <w:r>
        <w:t xml:space="preserve">Consensus for Q2 2026 sits at roughly</w:t>
      </w:r>
      <w:r>
        <w:t xml:space="preserve"> </w:t>
      </w:r>
      <m:oMath>
        <m:r>
          <m:t>1.20</m:t>
        </m:r>
        <m:r>
          <m:t>E</m:t>
        </m:r>
        <m:r>
          <m:t>P</m:t>
        </m:r>
        <m:r>
          <m:t>S</m:t>
        </m:r>
        <m:r>
          <m:rPr>
            <m:sty m:val="p"/>
          </m:rPr>
          <m:t>*</m:t>
        </m:r>
        <m:r>
          <m:rPr>
            <m:sty m:val="p"/>
          </m:rPr>
          <m:t>*</m:t>
        </m:r>
        <m:r>
          <m:t>o</m:t>
        </m:r>
        <m:r>
          <m:t>n</m:t>
        </m:r>
        <m:r>
          <m:rPr>
            <m:sty m:val="p"/>
          </m:rPr>
          <m:t>*</m:t>
        </m:r>
        <m:r>
          <m:rPr>
            <m:sty m:val="p"/>
          </m:rPr>
          <m:t>*</m:t>
        </m:r>
        <m:r>
          <m:t> </m:t>
        </m:r>
      </m:oMath>
      <w:r>
        <w:rPr>
          <w:b/>
          <w:bCs/>
        </w:rPr>
        <w:t xml:space="preserve">3.93B revenue</w:t>
      </w:r>
      <w:r>
        <w:t xml:space="preserve">, squarely within management's own guided range of</w:t>
      </w:r>
      <w:r>
        <w:t xml:space="preserve"> </w:t>
      </w:r>
      <m:oMath>
        <m:r>
          <m:t>1.15</m:t>
        </m:r>
        <m:r>
          <m:rPr>
            <m:sty m:val="p"/>
          </m:rPr>
          <m:t>–</m:t>
        </m:r>
      </m:oMath>
      <w:r>
        <w:rPr>
          <w:b/>
          <w:bCs/>
        </w:rPr>
        <w:t xml:space="preserve">1.25</w:t>
      </w:r>
      <w:r>
        <w:t xml:space="preserve">. Sentiment is mixed-to-positive: a "Moderate Buy"/"Hold" blend across roughly 16-22 sell-side analysts, with price targets recently revised both up (reflecting the CAM gain and cost-program progress) and down (reflecting caution on North American retail demand and tariff uncertainty).</w:t>
      </w:r>
    </w:p>
    <w:p>
      <w:r>
        <w:pict>
          <v:rect style="width:0;height:1.5pt" o:hralign="center" o:hrstd="t" o:hr="t"/>
        </w:pict>
      </w:r>
    </w:p>
    <w:bookmarkEnd w:id="9"/>
    <w:bookmarkStart w:id="10" w:name="X1f4d4b6f5864da6c53ce906cb5327eefbc49e8a"/>
    <w:p>
      <w:pPr>
        <w:pStyle w:val="Heading2"/>
      </w:pPr>
      <w:r>
        <w:t xml:space="preserve">Q1 Recap: A Strong Start, Reset by the CAM Sale</w:t>
      </w:r>
    </w:p>
    <w:p>
      <w:pPr>
        <w:pStyle w:val="FirstParagraph"/>
      </w:pPr>
      <w:r>
        <w:t xml:space="preserve">Stanley Black &amp; Decker's Q1 was a clean beat: revenue was up 3% overall and flat organically, ahead of expectations, driven primarily by a well-executed outdoor products preseason, and adjusted earnings per share were $0.80, $0.20 ahead of the high end of the first quarter guidance range of $0.55 to $0.60. The bigger structural event was closing the Aerospace Fasteners (CAM) divestiture: the company completed the previously disclosed agreement to sell its Aerospace Fasteners business on April 6, with the vast majority of the approximately $1.6 billion of net proceeds already applied toward debt reduction. Management explicitly flagged that removing CAM's expected second-quarter contribution from guidance lowers Engineered Fastening segment pretax profit by about $15 million, but also lowers second-quarter interest expense by a similar amount, meaning essentially no impact on second-quarter or full-year adjusted EPS guidance — important context for reconciling reported vs. organic growth this quarter.</w:t>
      </w:r>
    </w:p>
    <w:p>
      <w:r>
        <w:pict>
          <v:rect style="width:0;height:1.5pt" o:hralign="center" o:hrstd="t" o:hr="t"/>
        </w:pict>
      </w:r>
    </w:p>
    <w:bookmarkEnd w:id="10"/>
    <w:bookmarkStart w:id="11" w:name="what-management-guided-for-q2"/>
    <w:p>
      <w:pPr>
        <w:pStyle w:val="Heading2"/>
      </w:pPr>
      <w:r>
        <w:t xml:space="preserve">What Management Guided For Q2</w:t>
      </w:r>
    </w:p>
    <w:p>
      <w:pPr>
        <w:pStyle w:val="Compact"/>
        <w:numPr>
          <w:ilvl w:val="0"/>
          <w:numId w:val="1001"/>
        </w:numPr>
      </w:pPr>
      <w:r>
        <w:rPr>
          <w:b/>
          <w:bCs/>
        </w:rPr>
        <w:t xml:space="preserve">Revenue:</w:t>
      </w:r>
      <w:r>
        <w:t xml:space="preserve"> </w:t>
      </w:r>
      <w:r>
        <w:t xml:space="preserve">net sales around $3.9 billion, down slightly year-over-year due to the sale of CAM, but up by a low single-digit percentage on an organic basis.</w:t>
      </w:r>
    </w:p>
    <w:p>
      <w:pPr>
        <w:pStyle w:val="Compact"/>
        <w:numPr>
          <w:ilvl w:val="0"/>
          <w:numId w:val="1001"/>
        </w:numPr>
      </w:pPr>
      <w:r>
        <w:rPr>
          <w:b/>
          <w:bCs/>
        </w:rPr>
        <w:t xml:space="preserve">EPS:</w:t>
      </w:r>
      <w:r>
        <w:t xml:space="preserve"> </w:t>
      </w:r>
      <w:r>
        <w:t xml:space="preserve">adjusted earnings per share expected to be approximately $1.15 to $1.25, with a planned tax rate of approximately 20%.</w:t>
      </w:r>
    </w:p>
    <w:p>
      <w:pPr>
        <w:pStyle w:val="Compact"/>
        <w:numPr>
          <w:ilvl w:val="0"/>
          <w:numId w:val="1001"/>
        </w:numPr>
      </w:pPr>
      <w:r>
        <w:rPr>
          <w:b/>
          <w:bCs/>
        </w:rPr>
        <w:t xml:space="preserve">Gross margin inflection:</w:t>
      </w:r>
      <w:r>
        <w:t xml:space="preserve"> </w:t>
      </w:r>
      <w:r>
        <w:t xml:space="preserve">the benefits of pricing, tariff mitigation and productivity initiatives are expected to deliver an approximate 300 basis points year-over-year improvement on adjusted gross margin, offsetting the continued impact of volume deleverage from the second half of 2025. This is the single most important number to check tonight — it's the crux of the multi-year margin recovery narrative.</w:t>
      </w:r>
    </w:p>
    <w:p>
      <w:pPr>
        <w:pStyle w:val="Compact"/>
        <w:numPr>
          <w:ilvl w:val="0"/>
          <w:numId w:val="1001"/>
        </w:numPr>
      </w:pPr>
      <w:r>
        <w:rPr>
          <w:b/>
          <w:bCs/>
        </w:rPr>
        <w:t xml:space="preserve">Tools &amp; Outdoor:</w:t>
      </w:r>
      <w:r>
        <w:t xml:space="preserve"> </w:t>
      </w:r>
      <w:r>
        <w:t xml:space="preserve">expected to inflect positively as organic revenue in the second quarter is expected to be up in a low single-digit range as recent commercial efforts continue to gain traction and as the company starts lapping the promotional disruption that started in the second quarter last year.</w:t>
      </w:r>
    </w:p>
    <w:p>
      <w:pPr>
        <w:pStyle w:val="FirstParagraph"/>
      </w:pPr>
      <w:r>
        <w:t xml:space="preserve">For the full year, management reaffirmed</w:t>
      </w:r>
      <w:r>
        <w:t xml:space="preserve"> </w:t>
      </w:r>
      <w:r>
        <w:rPr>
          <w:b/>
          <w:bCs/>
        </w:rPr>
        <w:t xml:space="preserve">adjusted EPS of</w:t>
      </w:r>
      <w:r>
        <w:rPr>
          <w:b/>
          <w:bCs/>
        </w:rPr>
        <w:t xml:space="preserve"> </w:t>
      </w:r>
      <m:oMath>
        <m:r>
          <m:t>4.90</m:t>
        </m:r>
        <m:r>
          <m:rPr>
            <m:sty m:val="p"/>
          </m:rPr>
          <m:t>–</m:t>
        </m:r>
      </m:oMath>
      <w:r>
        <w:rPr>
          <w:b/>
          <w:bCs/>
        </w:rPr>
        <w:t xml:space="preserve">5.70</w:t>
      </w:r>
      <w:r>
        <w:t xml:space="preserve"> </w:t>
      </w:r>
      <w:r>
        <w:t xml:space="preserve">(13% growth at the midpoint) and reiterated the long-term target: the company remains fully committed to achieving adjusted gross margins of 35-plus percent, anticipating reaching this milestone by the fourth quarter of 2026, and continuing to target 35% to 37% adjusted gross margin by the end of 2028.</w:t>
      </w:r>
    </w:p>
    <w:p>
      <w:r>
        <w:pict>
          <v:rect style="width:0;height:1.5pt" o:hralign="center" o:hrstd="t" o:hr="t"/>
        </w:pict>
      </w:r>
    </w:p>
    <w:bookmarkEnd w:id="11"/>
    <w:bookmarkStart w:id="17" w:name="five-things-to-watch-on-the-call"/>
    <w:p>
      <w:pPr>
        <w:pStyle w:val="Heading2"/>
      </w:pPr>
      <w:r>
        <w:t xml:space="preserve">Five Things to Watch on the Call</w:t>
      </w:r>
    </w:p>
    <w:bookmarkStart w:id="12" w:name="Xf4ffd979c8fe1ae691da7e69aa48ccc1c5db8e5"/>
    <w:p>
      <w:pPr>
        <w:pStyle w:val="Heading3"/>
      </w:pPr>
      <w:r>
        <w:t xml:space="preserve">1. Is the margin bridge tracking?</w:t>
      </w:r>
    </w:p>
    <w:p>
      <w:pPr>
        <w:pStyle w:val="FirstParagraph"/>
      </w:pPr>
      <w:r>
        <w:t xml:space="preserve">CFO Pat Hallinan gave unusually specific color on the drivers behind the 1H→2H gross margin step-up, noting about 40% of the delta is net productivity benefits from ongoing continuous improvement initiatives, another roughly similar amount from adjusting the fixed cost structure to the current volume environment, and the final ~20% from ongoing tariff mitigation efforts. He was confident enough to say the third-quarter gross margin was "already on our balance sheet" — investors will want confirmation Q2 margin came in near the guided ~300bp of improvement, validating this trajectory.</w:t>
      </w:r>
    </w:p>
    <w:bookmarkEnd w:id="12"/>
    <w:bookmarkStart w:id="13" w:name="Xaecc528dfea7548077830ee28d60a70c39cd453"/>
    <w:p>
      <w:pPr>
        <w:pStyle w:val="Heading3"/>
      </w:pPr>
      <w:r>
        <w:t xml:space="preserve">2. Tariff policy is a moving target</w:t>
      </w:r>
    </w:p>
    <w:p>
      <w:pPr>
        <w:pStyle w:val="FirstParagraph"/>
      </w:pPr>
      <w:r>
        <w:t xml:space="preserve">The company's guidance assumed a temporary window of lower tariffs (Section 122 replacing IEEPA) followed by reinstatement at similar levels via Section 301: our base case assumption is that new Section 301 tariffs will be introduced at the same level as the old IEEPA tariffs... by August, though that is subject to change as policy is finalized. Notably, new Section 301 tariffs (generally 10–12.5% on imports from dozens of countries) took effect in late July as the temporary Section 122 levies expired, and are now being challenged in court by multiple plaintiffs. Given SWK's explicit sensitivity to trade policy, expect detailed commentary on whether the actual 301 rates/timing match assumptions, and any read-through for pricing/promotions in the back half.</w:t>
      </w:r>
    </w:p>
    <w:bookmarkEnd w:id="13"/>
    <w:bookmarkStart w:id="14" w:name="Xf845e12f4a72b4f70877d6da1a65fce96725669"/>
    <w:p>
      <w:pPr>
        <w:pStyle w:val="Heading3"/>
      </w:pPr>
      <w:r>
        <w:t xml:space="preserve">3. Inflation offsets — battery metals, tungsten, and oil derivatives</w:t>
      </w:r>
    </w:p>
    <w:p>
      <w:pPr>
        <w:pStyle w:val="FirstParagraph"/>
      </w:pPr>
      <w:r>
        <w:t xml:space="preserve">Management flagged that inflationary cost pressures in resins and freight since the start of the Middle East conflict, along with meaningful inflation in battery metals and tungsten, roughly offset the benefit from the tariff tailwind in the year. With ongoing geopolitical volatility, watch for any change in this offset assumption.</w:t>
      </w:r>
    </w:p>
    <w:bookmarkEnd w:id="14"/>
    <w:bookmarkStart w:id="15" w:name="X9f60a7526279a10020a6c0e2ce096b590acdca3"/>
    <w:p>
      <w:pPr>
        <w:pStyle w:val="Heading3"/>
      </w:pPr>
      <w:r>
        <w:t xml:space="preserve">4. North America retail demand and the DEWALT/STANLEY/CRAFTSMAN brand relaunch cadence</w:t>
      </w:r>
    </w:p>
    <w:p>
      <w:pPr>
        <w:pStyle w:val="FirstParagraph"/>
      </w:pPr>
      <w:r>
        <w:t xml:space="preserve">Q1 showed North America organic revenue down 2%, while the U.S. commercial and industrial channel delivered high single-digit organic growth — a bifurcation between soft DIY retail and strong professional/industrial demand. Management guided that STANLEY brand is on pace to return to growth by mid-year, and a large CRAFTSMAN relaunch is slated for later in 2026. Q2 results should show whether that inflection is materializing, and whether the broader consumer — described as "hanging in" over the last several quarters despite a challenging macro backdrop — remains stable.</w:t>
      </w:r>
    </w:p>
    <w:bookmarkEnd w:id="15"/>
    <w:bookmarkStart w:id="16" w:name="Xb1a8b0516c914a7a5506ad6f095d84eb94c09d0"/>
    <w:p>
      <w:pPr>
        <w:pStyle w:val="Heading3"/>
      </w:pPr>
      <w:r>
        <w:t xml:space="preserve">5. Capital allocation and balance sheet flexibility</w:t>
      </w:r>
    </w:p>
    <w:p>
      <w:pPr>
        <w:pStyle w:val="FirstParagraph"/>
      </w:pPr>
      <w:r>
        <w:t xml:space="preserve">Post-CAM, leverage has dropped sharply: management targeted 2.5x net debt to adjusted EBITDA by year-end, and the Board authorized $500 million in share repurchases. Separately, on June 18 the company refreshed its liquidity backstop, entering a new $1.0 billion 364-day revolving facility and an amended $2.0 billion five-year revolving facility (replacing the prior 2025 364-day facility) — a signal of proactive balance-sheet management as it pivots toward buybacks and potential bolt-on M&amp;A. Watch for confirmation of buyback pace and updated leverage trajectory.</w:t>
      </w:r>
    </w:p>
    <w:p>
      <w:r>
        <w:pict>
          <v:rect style="width:0;height:1.5pt" o:hralign="center" o:hrstd="t" o:hr="t"/>
        </w:pict>
      </w:r>
    </w:p>
    <w:bookmarkEnd w:id="16"/>
    <w:bookmarkEnd w:id="17"/>
    <w:bookmarkStart w:id="18" w:name="segment-considerations"/>
    <w:p>
      <w:pPr>
        <w:pStyle w:val="Heading2"/>
      </w:pPr>
      <w:r>
        <w:t xml:space="preserve">Segment Considerations</w:t>
      </w:r>
    </w:p>
    <w:p>
      <w:pPr>
        <w:pStyle w:val="Compact"/>
        <w:numPr>
          <w:ilvl w:val="0"/>
          <w:numId w:val="1002"/>
        </w:numPr>
      </w:pPr>
      <w:r>
        <w:rPr>
          <w:b/>
          <w:bCs/>
        </w:rPr>
        <w:t xml:space="preserve">Tools &amp; Outdoor:</w:t>
      </w:r>
      <w:r>
        <w:t xml:space="preserve"> </w:t>
      </w:r>
      <w:r>
        <w:t xml:space="preserve">Q1 adjusted segment margin was 8.7%; full-year guidance calls for low-single-digit organic growth and continued margin expansion via pricing, tariff mitigation, and cost discipline. The early outdoor season (mowers) started strong in Q1 sell-in — Q2/Q3 sell-through commentary will be a swing factor given this is peak season.</w:t>
      </w:r>
    </w:p>
    <w:p>
      <w:pPr>
        <w:pStyle w:val="Compact"/>
        <w:numPr>
          <w:ilvl w:val="0"/>
          <w:numId w:val="1002"/>
        </w:numPr>
      </w:pPr>
      <w:r>
        <w:rPr>
          <w:b/>
          <w:bCs/>
        </w:rPr>
        <w:t xml:space="preserve">Engineered Fastening:</w:t>
      </w:r>
      <w:r>
        <w:t xml:space="preserve"> </w:t>
      </w:r>
      <w:r>
        <w:t xml:space="preserve">Aerospace and automotive strength drove 10% reported and 7% organic growth in Q1, with Aerospace up 31% organically and Automotive up 4%, alongside 190 basis points of margin expansion to 12.0% adjusted. Post-CAM, this segment is smaller and guidance was trimmed slightly to low-single to mid-single-digit organic growth, reflecting one quarter of CAM contribution rather than two — reported growth optics will look different than organic.</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SWK heads into this print riding significant share-price momentum built on: a cleaner balance sheet after the CAM sale, a credible multi-year gross margin recovery story (with Q3 margins reportedly already "locked in"), early green shoots in STANLEY/DEWALT brand momentum, and a shift in capital allocation toward buybacks. The risk is that expectations have run ahead of fundamentals — the stock trades above most analyst targets, and the setup requires confirmation that (1) the ~300bp gross margin improvement materialized, (2) Tools &amp; Outdoor organic growth actually inflected positive as promised, and (3) the tariff/inflation net-neutral assumption is holding amid a genuinely fluid trade-policy backdrop. A clean beat with reaffirmed/raised full-year guidance would validate the "moving from repair to offense" narrative; any wobble on margin cadence or North America retail trends could trigger a sharp reversal given how much good news is now priced in.</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2026-07-29T00:13:59Z</dcterms:created>
  <dcterms:modified xsi:type="dcterms:W3CDTF">2026-07-29T00:13:59Z</dcterms:modified>
</cp:coreProperties>
</file>

<file path=docProps/custom.xml><?xml version="1.0" encoding="utf-8"?>
<Properties xmlns="http://schemas.openxmlformats.org/officeDocument/2006/custom-properties" xmlns:vt="http://schemas.openxmlformats.org/officeDocument/2006/docPropsVTypes"/>
</file>