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8c7947fae6b13f3b637021d9b5d660abec4e78"/>
    <w:p>
      <w:pPr>
        <w:pStyle w:val="Heading1"/>
      </w:pPr>
      <w:r>
        <w:t xml:space="preserve">Stanley Black &amp; Decker (SWK) — 2Q26 Earnings Preview</w:t>
      </w:r>
    </w:p>
    <w:p>
      <w:pPr>
        <w:pStyle w:val="BlockText"/>
      </w:pPr>
      <w:r>
        <w:rPr>
          <w:b/>
          <w:bCs/>
        </w:rPr>
        <w:t xml:space="preserve">Timing clarification:</w:t>
      </w:r>
      <w:r>
        <w:t xml:space="preserve"> </w:t>
      </w:r>
      <w:r>
        <w:t xml:space="preserve">Stanley Black &amp; Decker is scheduled to report</w:t>
      </w:r>
      <w:r>
        <w:t xml:space="preserve"> </w:t>
      </w:r>
      <w:r>
        <w:rPr>
          <w:b/>
          <w:bCs/>
        </w:rPr>
        <w:t xml:space="preserve">today, Wednesday, July 29, 2026</w:t>
      </w:r>
      <w:r>
        <w:t xml:space="preserve">, before the market opens—not tomorrow. The earnings call is scheduled for</w:t>
      </w:r>
      <w:r>
        <w:t xml:space="preserve"> </w:t>
      </w:r>
      <w:r>
        <w:rPr>
          <w:b/>
          <w:bCs/>
        </w:rPr>
        <w:t xml:space="preserve">8:00 a.m. ET</w:t>
      </w:r>
      <w:r>
        <w:t xml:space="preserve">. (</w:t>
      </w:r>
      <w:hyperlink r:id="rId9">
        <w:r>
          <w:rPr>
            <w:rStyle w:val="Hyperlink"/>
          </w:rPr>
          <w:t xml:space="preserve">ir.stanleyblackanddecker.com</w:t>
        </w:r>
      </w:hyperlink>
      <w:r>
        <w:t xml:space="preserve">)</w:t>
      </w:r>
    </w:p>
    <w:bookmarkStart w:id="10" w:name="executive-view"/>
    <w:p>
      <w:pPr>
        <w:pStyle w:val="Heading2"/>
      </w:pPr>
      <w:r>
        <w:t xml:space="preserve">Executive view</w:t>
      </w:r>
    </w:p>
    <w:p>
      <w:pPr>
        <w:pStyle w:val="FirstParagraph"/>
      </w:pPr>
      <w:r>
        <w:t xml:space="preserve">This quarter is less about whether SWK earns exactly $1.20 and more about whether management can validate the sharp second-half margin ramp embedded in guidance.</w:t>
      </w:r>
    </w:p>
    <w:p>
      <w:pPr>
        <w:pStyle w:val="BodyText"/>
      </w:pPr>
      <w:r>
        <w:t xml:space="preserve">The principal questions are:</w:t>
      </w:r>
    </w:p>
    <w:p>
      <w:pPr>
        <w:pStyle w:val="Compact"/>
        <w:numPr>
          <w:ilvl w:val="0"/>
          <w:numId w:val="1001"/>
        </w:numPr>
      </w:pPr>
      <w:r>
        <w:t xml:space="preserve">Did Tools &amp; Outdoor organic sales turn positive as expected?</w:t>
      </w:r>
    </w:p>
    <w:p>
      <w:pPr>
        <w:pStyle w:val="Compact"/>
        <w:numPr>
          <w:ilvl w:val="0"/>
          <w:numId w:val="1001"/>
        </w:numPr>
      </w:pPr>
      <w:r>
        <w:t xml:space="preserve">Did adjusted gross margin improve roughly 300 basis points year over year?</w:t>
      </w:r>
    </w:p>
    <w:p>
      <w:pPr>
        <w:pStyle w:val="Compact"/>
        <w:numPr>
          <w:ilvl w:val="0"/>
          <w:numId w:val="1001"/>
        </w:numPr>
      </w:pPr>
      <w:r>
        <w:t xml:space="preserve">Is SWK still confident in reaching approximately 35% adjusted gross margin around year-end?</w:t>
      </w:r>
    </w:p>
    <w:p>
      <w:pPr>
        <w:pStyle w:val="Compact"/>
        <w:numPr>
          <w:ilvl w:val="0"/>
          <w:numId w:val="1001"/>
        </w:numPr>
      </w:pPr>
      <w:r>
        <w:t xml:space="preserve">Can management maintain full-year adjusted EPS and cash-flow guidance despite commodity inflation and uncertain tariff policy?</w:t>
      </w:r>
    </w:p>
    <w:p>
      <w:pPr>
        <w:pStyle w:val="Compact"/>
        <w:numPr>
          <w:ilvl w:val="0"/>
          <w:numId w:val="1001"/>
        </w:numPr>
      </w:pPr>
      <w:r>
        <w:t xml:space="preserve">How much stock has SWK repurchased following the CAM divestiture?</w:t>
      </w:r>
    </w:p>
    <w:p>
      <w:pPr>
        <w:pStyle w:val="FirstParagraph"/>
      </w:pPr>
      <w:r>
        <w:t xml:space="preserve">A result near consensus with unchanged guidance would be operationally respectable. However, the stock closed at</w:t>
      </w:r>
      <w:r>
        <w:t xml:space="preserve"> </w:t>
      </w:r>
      <w:r>
        <w:rPr>
          <w:b/>
          <w:bCs/>
        </w:rPr>
        <w:t xml:space="preserve">$94.21 on July 28</w:t>
      </w:r>
      <w:r>
        <w:t xml:space="preserve">, roughly</w:t>
      </w:r>
      <w:r>
        <w:t xml:space="preserve"> </w:t>
      </w:r>
      <w:r>
        <w:rPr>
          <w:b/>
          <w:bCs/>
        </w:rPr>
        <w:t xml:space="preserve">24% above its April 29 close</w:t>
      </w:r>
      <w:r>
        <w:t xml:space="preserve">, so the bar has risen. Investors will probably require strong margin execution and credible second-half commentary, rather than a modest EPS beat driven by tax or below-the-line items.</w:t>
      </w:r>
    </w:p>
    <w:p>
      <w:r>
        <w:pict>
          <v:rect style="width:0;height:1.5pt" o:hralign="center" o:hrstd="t" o:hr="t"/>
        </w:pict>
      </w:r>
    </w:p>
    <w:bookmarkEnd w:id="10"/>
    <w:bookmarkStart w:id="13" w:name="headline-expectations"/>
    <w:p>
      <w:pPr>
        <w:pStyle w:val="Heading2"/>
      </w:pPr>
      <w:r>
        <w:t xml:space="preserve">Headline expectations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expectation</w:t>
            </w:r>
          </w:p>
        </w:tc>
        <w:tc>
          <w:tcPr/>
          <w:p>
            <w:pPr>
              <w:pStyle w:val="Compact"/>
              <w:jc w:val="right"/>
            </w:pPr>
            <w:r>
              <w:t xml:space="preserve">Relevant comparison</w:t>
            </w:r>
          </w:p>
        </w:tc>
      </w:tr>
      <w:tr>
        <w:tc>
          <w:tcPr/>
          <w:p>
            <w:pPr>
              <w:pStyle w:val="Compact"/>
            </w:pPr>
            <w:r>
              <w:t xml:space="preserve">Revenue</w:t>
            </w:r>
          </w:p>
        </w:tc>
        <w:tc>
          <w:tcPr/>
          <w:p>
            <w:pPr>
              <w:pStyle w:val="Compact"/>
              <w:jc w:val="right"/>
            </w:pPr>
            <w:r>
              <w:t xml:space="preserve">Approximately</w:t>
            </w:r>
            <w:r>
              <w:t xml:space="preserve"> </w:t>
            </w:r>
            <m:oMath>
              <m:r>
                <m:t>3.9</m:t>
              </m:r>
              <m:r>
                <m:t>B</m:t>
              </m:r>
              <m:r>
                <m:rPr>
                  <m:sty m:val="p"/>
                </m:rPr>
                <m:t>−</m:t>
              </m:r>
            </m:oMath>
            <w:r>
              <w:rPr>
                <w:b/>
                <w:bCs/>
              </w:rPr>
              <w:t xml:space="preserve">4.0B</w:t>
            </w:r>
          </w:p>
        </w:tc>
        <w:tc>
          <w:tcPr/>
          <w:p>
            <w:pPr>
              <w:pStyle w:val="Compact"/>
              <w:jc w:val="right"/>
            </w:pPr>
            <w:r>
              <w:t xml:space="preserve">$3.9B in 2Q25</w:t>
            </w:r>
          </w:p>
        </w:tc>
      </w:tr>
      <w:tr>
        <w:tc>
          <w:tcPr/>
          <w:p>
            <w:pPr>
              <w:pStyle w:val="Compact"/>
            </w:pPr>
            <w:r>
              <w:t xml:space="preserve">Adjusted EPS</w:t>
            </w:r>
          </w:p>
        </w:tc>
        <w:tc>
          <w:tcPr/>
          <w:p>
            <w:pPr>
              <w:pStyle w:val="Compact"/>
              <w:jc w:val="right"/>
            </w:pPr>
            <w:r>
              <w:rPr>
                <w:b/>
                <w:bCs/>
              </w:rPr>
              <w:t xml:space="preserve">$1.20 consensus</w:t>
            </w:r>
          </w:p>
        </w:tc>
        <w:tc>
          <w:tcPr/>
          <w:p>
            <w:pPr>
              <w:pStyle w:val="Compact"/>
              <w:jc w:val="right"/>
            </w:pPr>
            <w:r>
              <w:t xml:space="preserve">$1.08 in 2Q25</w:t>
            </w:r>
          </w:p>
        </w:tc>
      </w:tr>
      <w:tr>
        <w:tc>
          <w:tcPr/>
          <w:p>
            <w:pPr>
              <w:pStyle w:val="Compact"/>
            </w:pPr>
            <w:r>
              <w:t xml:space="preserve">Company adjusted-EPS guidance</w:t>
            </w:r>
          </w:p>
        </w:tc>
        <w:tc>
          <w:tcPr/>
          <w:p>
            <w:pPr>
              <w:pStyle w:val="Compact"/>
              <w:jc w:val="right"/>
            </w:pPr>
            <m:oMath>
              <m:r>
                <m:t>1.15</m:t>
              </m:r>
              <m:r>
                <m:rPr>
                  <m:sty m:val="p"/>
                </m:rPr>
                <m:t>−</m:t>
              </m:r>
            </m:oMath>
            <w:r>
              <w:rPr>
                <w:b/>
                <w:bCs/>
              </w:rPr>
              <w:t xml:space="preserve">1.25</w:t>
            </w:r>
          </w:p>
        </w:tc>
        <w:tc>
          <w:tcPr/>
          <w:p>
            <w:pPr>
              <w:pStyle w:val="Compact"/>
              <w:jc w:val="right"/>
            </w:pPr>
            <w:r>
              <w:t xml:space="preserve">Consensus is at midpoint</w:t>
            </w:r>
          </w:p>
        </w:tc>
      </w:tr>
      <w:tr>
        <w:tc>
          <w:tcPr/>
          <w:p>
            <w:pPr>
              <w:pStyle w:val="Compact"/>
            </w:pPr>
            <w:r>
              <w:t xml:space="preserve">Organic revenue</w:t>
            </w:r>
          </w:p>
        </w:tc>
        <w:tc>
          <w:tcPr/>
          <w:p>
            <w:pPr>
              <w:pStyle w:val="Compact"/>
              <w:jc w:val="right"/>
            </w:pPr>
            <w:r>
              <w:rPr>
                <w:b/>
                <w:bCs/>
              </w:rPr>
              <w:t xml:space="preserve">Low-single-digit growth</w:t>
            </w:r>
          </w:p>
        </w:tc>
        <w:tc>
          <w:tcPr/>
          <w:p>
            <w:pPr>
              <w:pStyle w:val="Compact"/>
              <w:jc w:val="right"/>
            </w:pPr>
            <w:r>
              <w:t xml:space="preserve">Down 3% in 2Q25</w:t>
            </w:r>
          </w:p>
        </w:tc>
      </w:tr>
      <w:tr>
        <w:tc>
          <w:tcPr/>
          <w:p>
            <w:pPr>
              <w:pStyle w:val="Compact"/>
            </w:pPr>
            <w:r>
              <w:t xml:space="preserve">Adjusted gross margin</w:t>
            </w:r>
          </w:p>
        </w:tc>
        <w:tc>
          <w:tcPr/>
          <w:p>
            <w:pPr>
              <w:pStyle w:val="Compact"/>
              <w:jc w:val="right"/>
            </w:pPr>
            <w:r>
              <w:t xml:space="preserve">Approximately</w:t>
            </w:r>
            <w:r>
              <w:t xml:space="preserve"> </w:t>
            </w:r>
            <w:r>
              <w:rPr>
                <w:b/>
                <w:bCs/>
              </w:rPr>
              <w:t xml:space="preserve">30.5% implied</w:t>
            </w:r>
          </w:p>
        </w:tc>
        <w:tc>
          <w:tcPr/>
          <w:p>
            <w:pPr>
              <w:pStyle w:val="Compact"/>
              <w:jc w:val="right"/>
            </w:pPr>
            <w:r>
              <w:t xml:space="preserve">27.5% in 2Q25</w:t>
            </w:r>
          </w:p>
        </w:tc>
      </w:tr>
      <w:tr>
        <w:tc>
          <w:tcPr/>
          <w:p>
            <w:pPr>
              <w:pStyle w:val="Compact"/>
            </w:pPr>
            <w:r>
              <w:t xml:space="preserve">Planned tax rate</w:t>
            </w:r>
          </w:p>
        </w:tc>
        <w:tc>
          <w:tcPr/>
          <w:p>
            <w:pPr>
              <w:pStyle w:val="Compact"/>
              <w:jc w:val="right"/>
            </w:pPr>
            <w:r>
              <w:t xml:space="preserve">Approximately</w:t>
            </w:r>
            <w:r>
              <w:t xml:space="preserve"> </w:t>
            </w:r>
            <w:r>
              <w:rPr>
                <w:b/>
                <w:bCs/>
              </w:rPr>
              <w:t xml:space="preserve">20%</w:t>
            </w:r>
          </w:p>
        </w:tc>
        <w:tc>
          <w:tcPr/>
          <w:p>
            <w:pPr>
              <w:pStyle w:val="Compact"/>
              <w:jc w:val="right"/>
            </w:pPr>
            <w:r>
              <w:t xml:space="preserve">2Q25 benefited from a favorable tax settlement</w:t>
            </w:r>
          </w:p>
        </w:tc>
      </w:tr>
    </w:tbl>
    <w:p>
      <w:pPr>
        <w:pStyle w:val="BodyText"/>
      </w:pPr>
      <w:r>
        <w:t xml:space="preserve">Published consensus estimates cluster around</w:t>
      </w:r>
      <w:r>
        <w:t xml:space="preserve"> </w:t>
      </w:r>
      <m:oMath>
        <m:r>
          <m:t>1.20</m:t>
        </m:r>
        <m:r>
          <m:t>o</m:t>
        </m:r>
        <m:r>
          <m:t>f</m:t>
        </m:r>
        <m:r>
          <m:t>a</m:t>
        </m:r>
        <m:r>
          <m:t>d</m:t>
        </m:r>
        <m:r>
          <m:t>j</m:t>
        </m:r>
        <m:r>
          <m:t>u</m:t>
        </m:r>
        <m:r>
          <m:t>s</m:t>
        </m:r>
        <m:r>
          <m:t>t</m:t>
        </m:r>
        <m:r>
          <m:t>e</m:t>
        </m:r>
        <m:r>
          <m:t>d</m:t>
        </m:r>
        <m:r>
          <m:t>E</m:t>
        </m:r>
        <m:r>
          <m:t>P</m:t>
        </m:r>
        <m:r>
          <m:t>S</m:t>
        </m:r>
        <m:r>
          <m:rPr>
            <m:sty m:val="p"/>
          </m:rPr>
          <m:t>*</m:t>
        </m:r>
        <m:r>
          <m:rPr>
            <m:sty m:val="p"/>
          </m:rPr>
          <m:t>*</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3.93-$3.97 billion of revenue</w:t>
      </w:r>
      <w:r>
        <w:t xml:space="preserve">. (</w:t>
      </w:r>
      <w:hyperlink r:id="rId11">
        <w:r>
          <w:rPr>
            <w:rStyle w:val="Hyperlink"/>
          </w:rPr>
          <w:t xml:space="preserve">barchart.com</w:t>
        </w:r>
      </w:hyperlink>
      <w:r>
        <w:t xml:space="preserve">)</w:t>
      </w:r>
    </w:p>
    <w:p>
      <w:pPr>
        <w:pStyle w:val="BodyText"/>
      </w:pPr>
      <w:r>
        <w:t xml:space="preserve">SWK itself guided to roughly $3.9 billion of revenue, low-single-digit organic growth and</w:t>
      </w:r>
      <w:r>
        <w:t xml:space="preserve"> </w:t>
      </w:r>
      <m:oMath>
        <m:r>
          <m:t>1.15</m:t>
        </m:r>
        <m:r>
          <m:rPr>
            <m:sty m:val="p"/>
          </m:rPr>
          <m:t>−</m:t>
        </m:r>
      </m:oMath>
      <w:r>
        <w:t xml:space="preserve">1.25 of adjusted EPS. The company expected adjusted gross margin to improve approximately 300 basis points from last year’s 27.5%, implying roughly</w:t>
      </w:r>
      <w:r>
        <w:t xml:space="preserve"> </w:t>
      </w:r>
      <w:r>
        <w:rPr>
          <w:b/>
          <w:bCs/>
        </w:rPr>
        <w:t xml:space="preserve">30.5%</w:t>
      </w:r>
      <w:r>
        <w:t xml:space="preserve">.</w:t>
      </w:r>
    </w:p>
    <w:bookmarkStart w:id="12" w:name="important-comparability-issue"/>
    <w:p>
      <w:pPr>
        <w:pStyle w:val="Heading3"/>
      </w:pPr>
      <w:r>
        <w:t xml:space="preserve">Important comparability issue</w:t>
      </w:r>
    </w:p>
    <w:p>
      <w:pPr>
        <w:pStyle w:val="FirstParagraph"/>
      </w:pPr>
      <w:r>
        <w:t xml:space="preserve">Reported revenue is affected by the April 6 sale of Consolidated Aerospace Manufacturing, or CAM. Management previously estimated that removing CAM from nearly all of 2Q would reduce quarterly revenue by approximately</w:t>
      </w:r>
      <w:r>
        <w:t xml:space="preserve"> </w:t>
      </w:r>
      <m:oMath>
        <m:r>
          <m:t>110</m:t>
        </m:r>
        <m:r>
          <m:rPr>
            <m:sty m:val="p"/>
          </m:rPr>
          <m:t>−</m:t>
        </m:r>
      </m:oMath>
      <w:r>
        <w:rPr>
          <w:b/>
          <w:bCs/>
        </w:rPr>
        <w:t xml:space="preserve">120 million</w:t>
      </w:r>
      <w:r>
        <w:t xml:space="preserve"> </w:t>
      </w:r>
      <w:r>
        <w:t xml:space="preserve">and pretax segment profit by roughly</w:t>
      </w:r>
      <w:r>
        <w:t xml:space="preserve"> </w:t>
      </w:r>
      <w:r>
        <w:rPr>
          <w:b/>
          <w:bCs/>
        </w:rPr>
        <w:t xml:space="preserve">$15 million</w:t>
      </w:r>
      <w:r>
        <w:t xml:space="preserve">. Lower interest expense was expected to offset the lost profit, leaving adjusted EPS broadly unaffected.</w:t>
      </w:r>
    </w:p>
    <w:p>
      <w:pPr>
        <w:pStyle w:val="BodyText"/>
      </w:pPr>
      <w:r>
        <w:t xml:space="preserve">Consequently,</w:t>
      </w:r>
      <w:r>
        <w:t xml:space="preserve"> </w:t>
      </w:r>
      <w:r>
        <w:rPr>
          <w:b/>
          <w:bCs/>
        </w:rPr>
        <w:t xml:space="preserve">slightly lower reported sales can coexist with positive organic growth</w:t>
      </w:r>
      <w:r>
        <w:t xml:space="preserve">. Investors should focus on organic sales, margins and underlying cash generation rather than the headline revenue growth rate.</w:t>
      </w:r>
    </w:p>
    <w:p>
      <w:pPr>
        <w:pStyle w:val="BodyText"/>
      </w:pPr>
      <w:r>
        <w:t xml:space="preserve">GAAP earnings will also include the CAM disposal gain, previously estimated at</w:t>
      </w:r>
      <w:r>
        <w:t xml:space="preserve"> </w:t>
      </w:r>
      <m:oMath>
        <m:r>
          <m:t>260</m:t>
        </m:r>
        <m:r>
          <m:rPr>
            <m:sty m:val="p"/>
          </m:rPr>
          <m:t>−</m:t>
        </m:r>
      </m:oMath>
      <w:r>
        <w:rPr>
          <w:b/>
          <w:bCs/>
        </w:rPr>
        <w:t xml:space="preserve">280 million pretax</w:t>
      </w:r>
      <w:r>
        <w:t xml:space="preserve">, making adjusted EPS the more useful measure for evaluating operating performance.</w:t>
      </w:r>
    </w:p>
    <w:p>
      <w:r>
        <w:pict>
          <v:rect style="width:0;height:1.5pt" o:hralign="center" o:hrstd="t" o:hr="t"/>
        </w:pict>
      </w:r>
    </w:p>
    <w:bookmarkEnd w:id="12"/>
    <w:bookmarkEnd w:id="13"/>
    <w:bookmarkStart w:id="16" w:name="X3fd889e0c45d4d2fa865f389508f33d1d2135da"/>
    <w:p>
      <w:pPr>
        <w:pStyle w:val="Heading2"/>
      </w:pPr>
      <w:r>
        <w:t xml:space="preserve">The central issue: Can the margin recovery accelerate?</w:t>
      </w:r>
    </w:p>
    <w:p>
      <w:pPr>
        <w:pStyle w:val="FirstParagraph"/>
      </w:pPr>
      <w:r>
        <w:t xml:space="preserve">SWK exited 1Q with adjusted gross margin of</w:t>
      </w:r>
      <w:r>
        <w:t xml:space="preserve"> </w:t>
      </w:r>
      <w:r>
        <w:rPr>
          <w:b/>
          <w:bCs/>
        </w:rPr>
        <w:t xml:space="preserve">30.2%</w:t>
      </w:r>
      <w:r>
        <w:t xml:space="preserve">, down 20 basis points year over year. Management nevertheless retained its expectation for approximately</w:t>
      </w:r>
      <w:r>
        <w:t xml:space="preserve"> </w:t>
      </w:r>
      <w:r>
        <w:rPr>
          <w:b/>
          <w:bCs/>
        </w:rPr>
        <w:t xml:space="preserve">150 basis points of full-year expansion</w:t>
      </w:r>
      <w:r>
        <w:t xml:space="preserve">, with much stronger improvement beginning in 2Q. (</w:t>
      </w:r>
      <w:hyperlink r:id="rId14">
        <w:r>
          <w:rPr>
            <w:rStyle w:val="Hyperlink"/>
          </w:rPr>
          <w:t xml:space="preserve">ir.stanleyblackanddecker.com</w:t>
        </w:r>
      </w:hyperlink>
      <w:r>
        <w:t xml:space="preserve">)</w:t>
      </w:r>
    </w:p>
    <w:p>
      <w:pPr>
        <w:pStyle w:val="BodyText"/>
      </w:pPr>
      <w:r>
        <w:t xml:space="preserve">The anticipated 2Q improvement is based on:</w:t>
      </w:r>
    </w:p>
    <w:p>
      <w:pPr>
        <w:pStyle w:val="Compact"/>
        <w:numPr>
          <w:ilvl w:val="0"/>
          <w:numId w:val="1002"/>
        </w:numPr>
      </w:pPr>
      <w:r>
        <w:t xml:space="preserve">Pricing taken to offset tariff costs.</w:t>
      </w:r>
    </w:p>
    <w:p>
      <w:pPr>
        <w:pStyle w:val="Compact"/>
        <w:numPr>
          <w:ilvl w:val="0"/>
          <w:numId w:val="1002"/>
        </w:numPr>
      </w:pPr>
      <w:r>
        <w:t xml:space="preserve">Ongoing tariff mitigation and greater USMCA compliance.</w:t>
      </w:r>
    </w:p>
    <w:p>
      <w:pPr>
        <w:pStyle w:val="Compact"/>
        <w:numPr>
          <w:ilvl w:val="0"/>
          <w:numId w:val="1002"/>
        </w:numPr>
      </w:pPr>
      <w:r>
        <w:t xml:space="preserve">Moving U.S.-bound production away from China.</w:t>
      </w:r>
    </w:p>
    <w:p>
      <w:pPr>
        <w:pStyle w:val="Compact"/>
        <w:numPr>
          <w:ilvl w:val="0"/>
          <w:numId w:val="1002"/>
        </w:numPr>
      </w:pPr>
      <w:r>
        <w:t xml:space="preserve">Manufacturing productivity and product-platform standardization.</w:t>
      </w:r>
    </w:p>
    <w:p>
      <w:pPr>
        <w:pStyle w:val="Compact"/>
        <w:numPr>
          <w:ilvl w:val="0"/>
          <w:numId w:val="1002"/>
        </w:numPr>
      </w:pPr>
      <w:r>
        <w:t xml:space="preserve">Fixed-cost reductions implemented after 2025 volume weakness.</w:t>
      </w:r>
    </w:p>
    <w:p>
      <w:pPr>
        <w:pStyle w:val="Compact"/>
        <w:numPr>
          <w:ilvl w:val="0"/>
          <w:numId w:val="1002"/>
        </w:numPr>
      </w:pPr>
      <w:r>
        <w:t xml:space="preserve">An easier comparison with tariff-pressured 2Q25.</w:t>
      </w:r>
    </w:p>
    <w:p>
      <w:pPr>
        <w:pStyle w:val="FirstParagraph"/>
      </w:pPr>
      <w:r>
        <w:t xml:space="preserve">Management has described the second-half margin bridge as approximately:</w:t>
      </w:r>
    </w:p>
    <w:p>
      <w:pPr>
        <w:pStyle w:val="Compact"/>
        <w:numPr>
          <w:ilvl w:val="0"/>
          <w:numId w:val="1003"/>
        </w:numPr>
      </w:pPr>
      <w:r>
        <w:rPr>
          <w:b/>
          <w:bCs/>
        </w:rPr>
        <w:t xml:space="preserve">40% productivity</w:t>
      </w:r>
    </w:p>
    <w:p>
      <w:pPr>
        <w:pStyle w:val="Compact"/>
        <w:numPr>
          <w:ilvl w:val="0"/>
          <w:numId w:val="1003"/>
        </w:numPr>
      </w:pPr>
      <w:r>
        <w:rPr>
          <w:b/>
          <w:bCs/>
        </w:rPr>
        <w:t xml:space="preserve">40% fixed-cost and capacity adjustment</w:t>
      </w:r>
    </w:p>
    <w:p>
      <w:pPr>
        <w:pStyle w:val="Compact"/>
        <w:numPr>
          <w:ilvl w:val="0"/>
          <w:numId w:val="1003"/>
        </w:numPr>
      </w:pPr>
      <w:r>
        <w:rPr>
          <w:b/>
          <w:bCs/>
        </w:rPr>
        <w:t xml:space="preserve">20% tariff mitigation</w:t>
      </w:r>
    </w:p>
    <w:p>
      <w:pPr>
        <w:pStyle w:val="FirstParagraph"/>
      </w:pPr>
      <w:r>
        <w:t xml:space="preserve">This is the most important part of the report. If gross margin is near 30.5% and management reiterates confidence in a roughly 35% exit rate, the restructuring and supply-chain thesis remains intact. If gross margin falls short because of poor mix, outdoor weakness or inflation, investors may question the much larger improvement assumed for the second half.</w:t>
      </w:r>
    </w:p>
    <w:bookmarkStart w:id="15" w:name="what-constitutes-a-good-margin-result"/>
    <w:p>
      <w:pPr>
        <w:pStyle w:val="Heading3"/>
      </w:pPr>
      <w:r>
        <w:t xml:space="preserve">What constitutes a good margin result?</w:t>
      </w:r>
    </w:p>
    <w:p>
      <w:pPr>
        <w:pStyle w:val="Compact"/>
        <w:numPr>
          <w:ilvl w:val="0"/>
          <w:numId w:val="1004"/>
        </w:numPr>
      </w:pPr>
      <w:r>
        <w:rPr>
          <w:b/>
          <w:bCs/>
        </w:rPr>
        <w:t xml:space="preserve">Bullish:</w:t>
      </w:r>
      <w:r>
        <w:t xml:space="preserve"> </w:t>
      </w:r>
      <w:r>
        <w:t xml:space="preserve">Adjusted gross margin above 30.5%, with productivity—not temporary tariff relief—driving the upside.</w:t>
      </w:r>
    </w:p>
    <w:p>
      <w:pPr>
        <w:pStyle w:val="Compact"/>
        <w:numPr>
          <w:ilvl w:val="0"/>
          <w:numId w:val="1004"/>
        </w:numPr>
      </w:pPr>
      <w:r>
        <w:rPr>
          <w:b/>
          <w:bCs/>
        </w:rPr>
        <w:t xml:space="preserve">Acceptable:</w:t>
      </w:r>
      <w:r>
        <w:t xml:space="preserve"> </w:t>
      </w:r>
      <w:r>
        <w:t xml:space="preserve">Roughly 30%-30.5%, accompanied by firm second-half guidance.</w:t>
      </w:r>
    </w:p>
    <w:p>
      <w:pPr>
        <w:pStyle w:val="Compact"/>
        <w:numPr>
          <w:ilvl w:val="0"/>
          <w:numId w:val="1004"/>
        </w:numPr>
      </w:pPr>
      <w:r>
        <w:rPr>
          <w:b/>
          <w:bCs/>
        </w:rPr>
        <w:t xml:space="preserve">Concerning:</w:t>
      </w:r>
      <w:r>
        <w:t xml:space="preserve"> </w:t>
      </w:r>
      <w:r>
        <w:t xml:space="preserve">Below 30%, particularly if management reduces or qualifies its year-end margin objective.</w:t>
      </w:r>
    </w:p>
    <w:p>
      <w:r>
        <w:pict>
          <v:rect style="width:0;height:1.5pt" o:hralign="center" o:hrstd="t" o:hr="t"/>
        </w:pict>
      </w:r>
    </w:p>
    <w:bookmarkEnd w:id="15"/>
    <w:bookmarkEnd w:id="16"/>
    <w:bookmarkStart w:id="22" w:name="Xfd4e86863be5c779c4f425b934e9b7824d24347"/>
    <w:p>
      <w:pPr>
        <w:pStyle w:val="Heading2"/>
      </w:pPr>
      <w:r>
        <w:t xml:space="preserve">Tools &amp; Outdoor: The volume inflection must show up</w:t>
      </w:r>
    </w:p>
    <w:p>
      <w:pPr>
        <w:pStyle w:val="FirstParagraph"/>
      </w:pPr>
      <w:r>
        <w:t xml:space="preserve">Tools &amp; Outdoor accounts for most of SWK’s revenue and equity story. In 1Q, segment organic sales declined 1% as 4% pricing was more than offset by a 5% volume decline. North American retail remained soft, while professional channels and selected international markets performed better.</w:t>
      </w:r>
    </w:p>
    <w:p>
      <w:pPr>
        <w:pStyle w:val="BodyText"/>
      </w:pPr>
      <w:r>
        <w:t xml:space="preserve">Management expected 2Q organic growth to become positive because:</w:t>
      </w:r>
    </w:p>
    <w:p>
      <w:pPr>
        <w:pStyle w:val="Compact"/>
        <w:numPr>
          <w:ilvl w:val="0"/>
          <w:numId w:val="1005"/>
        </w:numPr>
      </w:pPr>
      <w:r>
        <w:t xml:space="preserve">SWK is lapping disrupted promotions and shipments from 2Q25.</w:t>
      </w:r>
    </w:p>
    <w:p>
      <w:pPr>
        <w:pStyle w:val="Compact"/>
        <w:numPr>
          <w:ilvl w:val="0"/>
          <w:numId w:val="1005"/>
        </w:numPr>
      </w:pPr>
      <w:r>
        <w:t xml:space="preserve">Competitors have taken price, narrowing SWK’s earlier relative price disadvantage.</w:t>
      </w:r>
    </w:p>
    <w:p>
      <w:pPr>
        <w:pStyle w:val="Compact"/>
        <w:numPr>
          <w:ilvl w:val="0"/>
          <w:numId w:val="1005"/>
        </w:numPr>
      </w:pPr>
      <w:r>
        <w:t xml:space="preserve">The company refined promotions at the SKU level.</w:t>
      </w:r>
    </w:p>
    <w:p>
      <w:pPr>
        <w:pStyle w:val="Compact"/>
        <w:numPr>
          <w:ilvl w:val="0"/>
          <w:numId w:val="1005"/>
        </w:numPr>
      </w:pPr>
      <w:r>
        <w:t xml:space="preserve">DEWALT continues to gain traction with professional users.</w:t>
      </w:r>
    </w:p>
    <w:p>
      <w:pPr>
        <w:pStyle w:val="Compact"/>
        <w:numPr>
          <w:ilvl w:val="0"/>
          <w:numId w:val="1005"/>
        </w:numPr>
      </w:pPr>
      <w:r>
        <w:t xml:space="preserve">Outdoor sell-in entered the spring season in a strong position.</w:t>
      </w:r>
    </w:p>
    <w:p>
      <w:pPr>
        <w:pStyle w:val="Compact"/>
        <w:numPr>
          <w:ilvl w:val="0"/>
          <w:numId w:val="1005"/>
        </w:numPr>
      </w:pPr>
      <w:r>
        <w:t xml:space="preserve">STANLEY brand listings and product refreshes were expected to support growth around midyear.</w:t>
      </w:r>
    </w:p>
    <w:bookmarkStart w:id="21" w:name="key-items-to-monitor"/>
    <w:p>
      <w:pPr>
        <w:pStyle w:val="Heading3"/>
      </w:pPr>
      <w:r>
        <w:t xml:space="preserve">Key items to monitor</w:t>
      </w:r>
    </w:p>
    <w:bookmarkStart w:id="17" w:name="X24f42d30fbab329c50c1ff47f1854b798e7b1a8"/>
    <w:p>
      <w:pPr>
        <w:pStyle w:val="Heading4"/>
      </w:pPr>
      <w:r>
        <w:t xml:space="preserve">1. North American retail volume</w:t>
      </w:r>
    </w:p>
    <w:p>
      <w:pPr>
        <w:pStyle w:val="FirstParagraph"/>
      </w:pPr>
      <w:r>
        <w:t xml:space="preserve">This remains the biggest demand risk. Management entered the quarter assuming a broadly flat underlying market, with SWK gaining share. Positive organic growth driven only by price or an easy comparison would be less convincing than genuine volume stabilization.</w:t>
      </w:r>
    </w:p>
    <w:bookmarkEnd w:id="17"/>
    <w:bookmarkStart w:id="18" w:name="X7ca301ffc14cccf59567b24bbf49b6f21eeaec0"/>
    <w:p>
      <w:pPr>
        <w:pStyle w:val="Heading4"/>
      </w:pPr>
      <w:r>
        <w:t xml:space="preserve">2. Outdoor sell-through</w:t>
      </w:r>
    </w:p>
    <w:p>
      <w:pPr>
        <w:pStyle w:val="FirstParagraph"/>
      </w:pPr>
      <w:r>
        <w:t xml:space="preserve">First-quarter outdoor sales benefited from preseason sell-in. The 2Q report should reveal whether consumer sell-through justified that inventory build.</w:t>
      </w:r>
    </w:p>
    <w:p>
      <w:pPr>
        <w:pStyle w:val="BodyText"/>
      </w:pPr>
      <w:r>
        <w:t xml:space="preserve">A weak outdoor season could create:</w:t>
      </w:r>
    </w:p>
    <w:p>
      <w:pPr>
        <w:pStyle w:val="Compact"/>
        <w:numPr>
          <w:ilvl w:val="0"/>
          <w:numId w:val="1006"/>
        </w:numPr>
      </w:pPr>
      <w:r>
        <w:t xml:space="preserve">Adverse product mix.</w:t>
      </w:r>
    </w:p>
    <w:p>
      <w:pPr>
        <w:pStyle w:val="Compact"/>
        <w:numPr>
          <w:ilvl w:val="0"/>
          <w:numId w:val="1006"/>
        </w:numPr>
      </w:pPr>
      <w:r>
        <w:t xml:space="preserve">Higher channel inventory.</w:t>
      </w:r>
    </w:p>
    <w:p>
      <w:pPr>
        <w:pStyle w:val="Compact"/>
        <w:numPr>
          <w:ilvl w:val="0"/>
          <w:numId w:val="1006"/>
        </w:numPr>
      </w:pPr>
      <w:r>
        <w:t xml:space="preserve">Promotional pressure.</w:t>
      </w:r>
    </w:p>
    <w:p>
      <w:pPr>
        <w:pStyle w:val="Compact"/>
        <w:numPr>
          <w:ilvl w:val="0"/>
          <w:numId w:val="1006"/>
        </w:numPr>
      </w:pPr>
      <w:r>
        <w:t xml:space="preserve">Lower factory utilization later in the year.</w:t>
      </w:r>
    </w:p>
    <w:p>
      <w:pPr>
        <w:pStyle w:val="FirstParagraph"/>
      </w:pPr>
      <w:r>
        <w:t xml:space="preserve">Strong sell-through would improve both revenue quality and working-capital risk.</w:t>
      </w:r>
    </w:p>
    <w:bookmarkEnd w:id="18"/>
    <w:bookmarkStart w:id="19" w:name="X11f8b7723df7f122cef266bd98a1913e8487f25"/>
    <w:p>
      <w:pPr>
        <w:pStyle w:val="Heading4"/>
      </w:pPr>
      <w:r>
        <w:t xml:space="preserve">3. DEWALT professional momentum</w:t>
      </w:r>
    </w:p>
    <w:p>
      <w:pPr>
        <w:pStyle w:val="FirstParagraph"/>
      </w:pPr>
      <w:r>
        <w:t xml:space="preserve">The U.S. commercial and industrial channel grew at a high-single-digit organic rate in 1Q. Continued strength would support management’s claim that investments in field sales, trade-specific workflows and products such as PERFORM &amp; PROTECT are producing share gains.</w:t>
      </w:r>
    </w:p>
    <w:bookmarkEnd w:id="19"/>
    <w:bookmarkStart w:id="20" w:name="Xd885273d6a195f8b6453f56ad93957c1416eef9"/>
    <w:p>
      <w:pPr>
        <w:pStyle w:val="Heading4"/>
      </w:pPr>
      <w:r>
        <w:t xml:space="preserve">4. STANLEY and CRAFTSMAN</w:t>
      </w:r>
    </w:p>
    <w:p>
      <w:pPr>
        <w:pStyle w:val="FirstParagraph"/>
      </w:pPr>
      <w:r>
        <w:t xml:space="preserve">Management expected STANLEY to return to growth around midyear, while CRAFTSMAN’s larger product refresh should contribute more meaningfully late in 2026 and into 2027. Any acceleration or delay in these timelines will affect confidence in SWK’s medium-term above-market growth thesis.</w:t>
      </w:r>
    </w:p>
    <w:p>
      <w:r>
        <w:pict>
          <v:rect style="width:0;height:1.5pt" o:hralign="center" o:hrstd="t" o:hr="t"/>
        </w:pict>
      </w:r>
    </w:p>
    <w:bookmarkEnd w:id="20"/>
    <w:bookmarkEnd w:id="21"/>
    <w:bookmarkEnd w:id="22"/>
    <w:bookmarkStart w:id="23" w:name="Xaa8a3db2137457287b81fd207ea89d68d6c2c44"/>
    <w:p>
      <w:pPr>
        <w:pStyle w:val="Heading2"/>
      </w:pPr>
      <w:r>
        <w:t xml:space="preserve">Tariffs and inflation: Watch the net impact, not the headlines</w:t>
      </w:r>
    </w:p>
    <w:p>
      <w:pPr>
        <w:pStyle w:val="FirstParagraph"/>
      </w:pPr>
      <w:r>
        <w:t xml:space="preserve">SWK’s tariff situation is unusually complicated. The company had benefited temporarily from lower tariffs but expected replacement tariffs eventually to recreate much of the former burden. At the same time, it was experiencing inflation in:</w:t>
      </w:r>
    </w:p>
    <w:p>
      <w:pPr>
        <w:pStyle w:val="Compact"/>
        <w:numPr>
          <w:ilvl w:val="0"/>
          <w:numId w:val="1007"/>
        </w:numPr>
      </w:pPr>
      <w:r>
        <w:t xml:space="preserve">Battery metals.</w:t>
      </w:r>
    </w:p>
    <w:p>
      <w:pPr>
        <w:pStyle w:val="Compact"/>
        <w:numPr>
          <w:ilvl w:val="0"/>
          <w:numId w:val="1007"/>
        </w:numPr>
      </w:pPr>
      <w:r>
        <w:t xml:space="preserve">Tungsten used in cutting accessories.</w:t>
      </w:r>
    </w:p>
    <w:p>
      <w:pPr>
        <w:pStyle w:val="Compact"/>
        <w:numPr>
          <w:ilvl w:val="0"/>
          <w:numId w:val="1007"/>
        </w:numPr>
      </w:pPr>
      <w:r>
        <w:t xml:space="preserve">Resins and other petroleum-linked inputs.</w:t>
      </w:r>
    </w:p>
    <w:p>
      <w:pPr>
        <w:pStyle w:val="Compact"/>
        <w:numPr>
          <w:ilvl w:val="0"/>
          <w:numId w:val="1007"/>
        </w:numPr>
      </w:pPr>
      <w:r>
        <w:t xml:space="preserve">Freight.</w:t>
      </w:r>
    </w:p>
    <w:p>
      <w:pPr>
        <w:pStyle w:val="FirstParagraph"/>
      </w:pPr>
      <w:r>
        <w:t xml:space="preserve">As of the June investor conference, management said temporary tariff relief was approximately offsetting these inflationary pressures. It also remained on pace to:</w:t>
      </w:r>
    </w:p>
    <w:p>
      <w:pPr>
        <w:pStyle w:val="Compact"/>
        <w:numPr>
          <w:ilvl w:val="0"/>
          <w:numId w:val="1008"/>
        </w:numPr>
      </w:pPr>
      <w:r>
        <w:t xml:space="preserve">Reduce China-sourced products for U.S. consumption to</w:t>
      </w:r>
      <w:r>
        <w:t xml:space="preserve"> </w:t>
      </w:r>
      <w:r>
        <w:rPr>
          <w:b/>
          <w:bCs/>
        </w:rPr>
        <w:t xml:space="preserve">5% or less</w:t>
      </w:r>
      <w:r>
        <w:t xml:space="preserve"> </w:t>
      </w:r>
      <w:r>
        <w:t xml:space="preserve">by year-end.</w:t>
      </w:r>
    </w:p>
    <w:p>
      <w:pPr>
        <w:pStyle w:val="Compact"/>
        <w:numPr>
          <w:ilvl w:val="0"/>
          <w:numId w:val="1008"/>
        </w:numPr>
      </w:pPr>
      <w:r>
        <w:t xml:space="preserve">Increase USMCA-qualified production toward broader industrial benchmarks.</w:t>
      </w:r>
    </w:p>
    <w:p>
      <w:pPr>
        <w:pStyle w:val="Compact"/>
        <w:numPr>
          <w:ilvl w:val="0"/>
          <w:numId w:val="1008"/>
        </w:numPr>
      </w:pPr>
      <w:r>
        <w:t xml:space="preserve">Rely more heavily on productivity, rather than broad pricing, to handle future inflation.</w:t>
      </w:r>
    </w:p>
    <w:p>
      <w:pPr>
        <w:pStyle w:val="FirstParagraph"/>
      </w:pPr>
      <w:r>
        <w:t xml:space="preserve">The report should clarify whether the tariff/inflation equation remains neutral. The most negative outcome would be renewed tariffs arriving before productivity and sourcing benefits are fully realized.</w:t>
      </w:r>
    </w:p>
    <w:p>
      <w:r>
        <w:pict>
          <v:rect style="width:0;height:1.5pt" o:hralign="center" o:hrstd="t" o:hr="t"/>
        </w:pict>
      </w:r>
    </w:p>
    <w:bookmarkEnd w:id="23"/>
    <w:bookmarkStart w:id="25" w:name="X1611f1a17e9d8d5b2c4ea9562d94268031b7b21"/>
    <w:p>
      <w:pPr>
        <w:pStyle w:val="Heading2"/>
      </w:pPr>
      <w:r>
        <w:t xml:space="preserve">Full-year guidance: The second-half burden remains substantial</w:t>
      </w:r>
    </w:p>
    <w:p>
      <w:pPr>
        <w:pStyle w:val="FirstParagraph"/>
      </w:pPr>
      <w:r>
        <w:t xml:space="preserve">Current company guidance includes: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metric</w:t>
            </w:r>
          </w:p>
        </w:tc>
        <w:tc>
          <w:tcPr/>
          <w:p>
            <w:pPr>
              <w:pStyle w:val="Compact"/>
              <w:jc w:val="right"/>
            </w:pPr>
            <w:r>
              <w:t xml:space="preserve">Guidance</w:t>
            </w:r>
          </w:p>
        </w:tc>
      </w:tr>
      <w:tr>
        <w:tc>
          <w:tcPr/>
          <w:p>
            <w:pPr>
              <w:pStyle w:val="Compact"/>
            </w:pPr>
            <w:r>
              <w:t xml:space="preserve">Adjusted EPS</w:t>
            </w:r>
          </w:p>
        </w:tc>
        <w:tc>
          <w:tcPr/>
          <w:p>
            <w:pPr>
              <w:pStyle w:val="Compact"/>
              <w:jc w:val="right"/>
            </w:pPr>
            <m:oMath>
              <m:r>
                <m:t>4.90</m:t>
              </m:r>
              <m:r>
                <m:rPr>
                  <m:sty m:val="p"/>
                </m:rPr>
                <m:t>−</m:t>
              </m:r>
            </m:oMath>
            <w:r>
              <w:rPr>
                <w:b/>
                <w:bCs/>
              </w:rPr>
              <w:t xml:space="preserve">5.70</w:t>
            </w:r>
          </w:p>
        </w:tc>
      </w:tr>
      <w:tr>
        <w:tc>
          <w:tcPr/>
          <w:p>
            <w:pPr>
              <w:pStyle w:val="Compact"/>
            </w:pPr>
            <w:r>
              <w:t xml:space="preserve">GAAP EPS</w:t>
            </w:r>
          </w:p>
        </w:tc>
        <w:tc>
          <w:tcPr/>
          <w:p>
            <w:pPr>
              <w:pStyle w:val="Compact"/>
              <w:jc w:val="right"/>
            </w:pPr>
            <m:oMath>
              <m:r>
                <m:t>4.15</m:t>
              </m:r>
              <m:r>
                <m:rPr>
                  <m:sty m:val="p"/>
                </m:rPr>
                <m:t>−</m:t>
              </m:r>
            </m:oMath>
            <w:r>
              <w:rPr>
                <w:b/>
                <w:bCs/>
              </w:rPr>
              <w:t xml:space="preserve">5.35</w:t>
            </w:r>
          </w:p>
        </w:tc>
      </w:tr>
      <w:tr>
        <w:tc>
          <w:tcPr/>
          <w:p>
            <w:pPr>
              <w:pStyle w:val="Compact"/>
            </w:pPr>
            <w:r>
              <w:t xml:space="preserve">Organic revenue</w:t>
            </w:r>
          </w:p>
        </w:tc>
        <w:tc>
          <w:tcPr/>
          <w:p>
            <w:pPr>
              <w:pStyle w:val="Compact"/>
              <w:jc w:val="right"/>
            </w:pPr>
            <w:r>
              <w:rPr>
                <w:b/>
                <w:bCs/>
              </w:rPr>
              <w:t xml:space="preserve">Low-single-digit growth</w:t>
            </w:r>
          </w:p>
        </w:tc>
      </w:tr>
      <w:tr>
        <w:tc>
          <w:tcPr/>
          <w:p>
            <w:pPr>
              <w:pStyle w:val="Compact"/>
            </w:pPr>
            <w:r>
              <w:t xml:space="preserve">Adjusted gross-margin expansion</w:t>
            </w:r>
          </w:p>
        </w:tc>
        <w:tc>
          <w:tcPr/>
          <w:p>
            <w:pPr>
              <w:pStyle w:val="Compact"/>
              <w:jc w:val="right"/>
            </w:pPr>
            <w:r>
              <w:t xml:space="preserve">Approximately</w:t>
            </w:r>
            <w:r>
              <w:t xml:space="preserve"> </w:t>
            </w:r>
            <w:r>
              <w:rPr>
                <w:b/>
                <w:bCs/>
              </w:rPr>
              <w:t xml:space="preserve">150 bps</w:t>
            </w:r>
          </w:p>
        </w:tc>
      </w:tr>
      <w:tr>
        <w:tc>
          <w:tcPr/>
          <w:p>
            <w:pPr>
              <w:pStyle w:val="Compact"/>
            </w:pPr>
            <w:r>
              <w:t xml:space="preserve">Free cash flow, including CAM taxes and fees</w:t>
            </w:r>
          </w:p>
        </w:tc>
        <w:tc>
          <w:tcPr/>
          <w:p>
            <w:pPr>
              <w:pStyle w:val="Compact"/>
              <w:jc w:val="right"/>
            </w:pPr>
            <m:oMath>
              <m:r>
                <m:t>500</m:t>
              </m:r>
              <m:r>
                <m:t>M</m:t>
              </m:r>
              <m:r>
                <m:rPr>
                  <m:sty m:val="p"/>
                </m:rPr>
                <m:t>−</m:t>
              </m:r>
            </m:oMath>
            <w:r>
              <w:rPr>
                <w:b/>
                <w:bCs/>
              </w:rPr>
              <w:t xml:space="preserve">700M</w:t>
            </w:r>
          </w:p>
        </w:tc>
      </w:tr>
      <w:tr>
        <w:tc>
          <w:tcPr/>
          <w:p>
            <w:pPr>
              <w:pStyle w:val="Compact"/>
            </w:pPr>
            <w:r>
              <w:t xml:space="preserve">Free cash flow excluding CAM-related payments</w:t>
            </w:r>
          </w:p>
        </w:tc>
        <w:tc>
          <w:tcPr/>
          <w:p>
            <w:pPr>
              <w:pStyle w:val="Compact"/>
              <w:jc w:val="right"/>
            </w:pPr>
            <m:oMath>
              <m:r>
                <m:t>700</m:t>
              </m:r>
              <m:r>
                <m:t>M</m:t>
              </m:r>
              <m:r>
                <m:rPr>
                  <m:sty m:val="p"/>
                </m:rPr>
                <m:t>−</m:t>
              </m:r>
            </m:oMath>
            <w:r>
              <w:rPr>
                <w:b/>
                <w:bCs/>
              </w:rPr>
              <w:t xml:space="preserve">900M</w:t>
            </w:r>
          </w:p>
        </w:tc>
      </w:tr>
      <w:tr>
        <w:tc>
          <w:tcPr/>
          <w:p>
            <w:pPr>
              <w:pStyle w:val="Compact"/>
            </w:pPr>
            <w:r>
              <w:t xml:space="preserve">Year-end net leverage target</w:t>
            </w:r>
          </w:p>
        </w:tc>
        <w:tc>
          <w:tcPr/>
          <w:p>
            <w:pPr>
              <w:pStyle w:val="Compact"/>
              <w:jc w:val="right"/>
            </w:pPr>
            <w:r>
              <w:t xml:space="preserve">Approximately</w:t>
            </w:r>
            <w:r>
              <w:t xml:space="preserve"> </w:t>
            </w:r>
            <w:r>
              <w:rPr>
                <w:b/>
                <w:bCs/>
              </w:rPr>
              <w:t xml:space="preserve">2.5x</w:t>
            </w:r>
          </w:p>
        </w:tc>
      </w:tr>
    </w:tbl>
    <w:p>
      <w:pPr>
        <w:pStyle w:val="BodyText"/>
      </w:pPr>
      <w:r>
        <w:t xml:space="preserve">The consensus full-year adjusted-EPS estimate is approximately</w:t>
      </w:r>
      <w:r>
        <w:t xml:space="preserve"> </w:t>
      </w:r>
      <w:r>
        <w:rPr>
          <w:b/>
          <w:bCs/>
        </w:rPr>
        <w:t xml:space="preserve">$5.35</w:t>
      </w:r>
      <w:r>
        <w:t xml:space="preserve">, slightly above the $5.30 guidance midpoint. (</w:t>
      </w:r>
      <w:hyperlink r:id="rId11">
        <w:r>
          <w:rPr>
            <w:rStyle w:val="Hyperlink"/>
          </w:rPr>
          <w:t xml:space="preserve">barchart.com</w:t>
        </w:r>
      </w:hyperlink>
      <w:r>
        <w:t xml:space="preserve">)</w:t>
      </w:r>
    </w:p>
    <w:p>
      <w:pPr>
        <w:pStyle w:val="BodyText"/>
      </w:pPr>
      <w:r>
        <w:t xml:space="preserve">If 2Q lands at</w:t>
      </w:r>
      <w:r>
        <w:t xml:space="preserve"> </w:t>
      </w:r>
      <m:oMath>
        <m:r>
          <m:t>1.20</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t</m:t>
        </m:r>
        <m:r>
          <m:t>o</m:t>
        </m:r>
        <m:r>
          <m:t>t</m:t>
        </m:r>
        <m:r>
          <m:t>a</m:t>
        </m:r>
        <m:r>
          <m:t>l</m:t>
        </m:r>
        <m:r>
          <m:t>r</m:t>
        </m:r>
        <m:r>
          <m:t>o</m:t>
        </m:r>
        <m:r>
          <m:t>u</m:t>
        </m:r>
        <m:r>
          <m:t>g</m:t>
        </m:r>
        <m:r>
          <m:t>h</m:t>
        </m:r>
        <m:r>
          <m:t>l</m:t>
        </m:r>
        <m:r>
          <m:t>y</m:t>
        </m:r>
        <m:r>
          <m:rPr>
            <m:sty m:val="p"/>
          </m:rPr>
          <m:t>*</m:t>
        </m:r>
        <m:r>
          <m:rPr>
            <m:sty m:val="p"/>
          </m:rPr>
          <m:t>*</m:t>
        </m:r>
      </m:oMath>
      <w:r>
        <w:t xml:space="preserve">2.00**, leaving about</w:t>
      </w:r>
      <w:r>
        <w:t xml:space="preserve"> </w:t>
      </w:r>
      <w:r>
        <w:rPr>
          <w:b/>
          <w:bCs/>
        </w:rPr>
        <w:t xml:space="preserve">$3.30</w:t>
      </w:r>
      <w:r>
        <w:t xml:space="preserve"> </w:t>
      </w:r>
      <w:r>
        <w:t xml:space="preserve">required in the second half to achieve the full-year midpoint. The back half therefore depends on a considerable margin and earnings acceleration.</w:t>
      </w:r>
    </w:p>
    <w:bookmarkStart w:id="24" w:name="guidance-outcomes"/>
    <w:p>
      <w:pPr>
        <w:pStyle w:val="Heading3"/>
      </w:pPr>
      <w:r>
        <w:t xml:space="preserve">Guidance outcomes</w:t>
      </w:r>
    </w:p>
    <w:p>
      <w:pPr>
        <w:pStyle w:val="Compact"/>
        <w:numPr>
          <w:ilvl w:val="0"/>
          <w:numId w:val="1009"/>
        </w:numPr>
      </w:pPr>
      <w:r>
        <w:rPr>
          <w:b/>
          <w:bCs/>
        </w:rPr>
        <w:t xml:space="preserve">Best case:</w:t>
      </w:r>
      <w:r>
        <w:t xml:space="preserve"> </w:t>
      </w:r>
      <w:r>
        <w:t xml:space="preserve">Full-year guidance is maintained, but management raises the lower end or indicates performance is trending above midpoint.</w:t>
      </w:r>
    </w:p>
    <w:p>
      <w:pPr>
        <w:pStyle w:val="Compact"/>
        <w:numPr>
          <w:ilvl w:val="0"/>
          <w:numId w:val="1009"/>
        </w:numPr>
      </w:pPr>
      <w:r>
        <w:rPr>
          <w:b/>
          <w:bCs/>
        </w:rPr>
        <w:t xml:space="preserve">Base case:</w:t>
      </w:r>
      <w:r>
        <w:t xml:space="preserve"> </w:t>
      </w:r>
      <w:r>
        <w:t xml:space="preserve">The full range is reaffirmed, supported by detailed evidence that productivity and fixed-cost savings are already visible.</w:t>
      </w:r>
    </w:p>
    <w:p>
      <w:pPr>
        <w:pStyle w:val="Compact"/>
        <w:numPr>
          <w:ilvl w:val="0"/>
          <w:numId w:val="1009"/>
        </w:numPr>
      </w:pPr>
      <w:r>
        <w:rPr>
          <w:b/>
          <w:bCs/>
        </w:rPr>
        <w:t xml:space="preserve">Bear case:</w:t>
      </w:r>
      <w:r>
        <w:t xml:space="preserve"> </w:t>
      </w:r>
      <w:r>
        <w:t xml:space="preserve">The range remains unchanged, but management shifts expectations toward the lower half or becomes less confident in the year-end margin target.</w:t>
      </w:r>
    </w:p>
    <w:p>
      <w:pPr>
        <w:pStyle w:val="Compact"/>
        <w:numPr>
          <w:ilvl w:val="0"/>
          <w:numId w:val="1009"/>
        </w:numPr>
      </w:pPr>
      <w:r>
        <w:rPr>
          <w:b/>
          <w:bCs/>
        </w:rPr>
        <w:t xml:space="preserve">Clear negative:</w:t>
      </w:r>
      <w:r>
        <w:t xml:space="preserve"> </w:t>
      </w:r>
      <w:r>
        <w:t xml:space="preserve">Reduced adjusted-EPS, free-cash-flow or gross-margin guidance.</w:t>
      </w:r>
    </w:p>
    <w:p>
      <w:r>
        <w:pict>
          <v:rect style="width:0;height:1.5pt" o:hralign="center" o:hrstd="t" o:hr="t"/>
        </w:pict>
      </w:r>
    </w:p>
    <w:bookmarkEnd w:id="24"/>
    <w:bookmarkEnd w:id="25"/>
    <w:bookmarkStart w:id="26" w:name="balance-sheet-and-capital-allocation"/>
    <w:p>
      <w:pPr>
        <w:pStyle w:val="Heading2"/>
      </w:pPr>
      <w:r>
        <w:t xml:space="preserve">Balance sheet and capital allocation</w:t>
      </w:r>
    </w:p>
    <w:p>
      <w:pPr>
        <w:pStyle w:val="FirstParagraph"/>
      </w:pPr>
      <w:r>
        <w:t xml:space="preserve">The CAM transaction generated approximately</w:t>
      </w:r>
      <w:r>
        <w:t xml:space="preserve"> </w:t>
      </w:r>
      <m:oMath>
        <m:r>
          <m:t>1.57</m:t>
        </m:r>
        <m:r>
          <m:t>b</m:t>
        </m:r>
        <m:r>
          <m:t>i</m:t>
        </m:r>
        <m:r>
          <m:t>l</m:t>
        </m:r>
        <m:r>
          <m:t>l</m:t>
        </m:r>
        <m:r>
          <m:t>i</m:t>
        </m:r>
        <m:r>
          <m:t>o</m:t>
        </m:r>
        <m:r>
          <m:t>n</m:t>
        </m:r>
        <m:r>
          <m:t>o</m:t>
        </m:r>
        <m:r>
          <m:t>f</m:t>
        </m:r>
        <m:r>
          <m:t>n</m:t>
        </m:r>
        <m:r>
          <m:t>e</m:t>
        </m:r>
        <m:r>
          <m:t>t</m:t>
        </m:r>
        <m:r>
          <m:t>p</m:t>
        </m:r>
        <m:r>
          <m:t>r</m:t>
        </m:r>
        <m:r>
          <m:t>o</m:t>
        </m:r>
        <m:r>
          <m:t>c</m:t>
        </m:r>
        <m:r>
          <m:t>e</m:t>
        </m:r>
        <m:r>
          <m:t>e</m:t>
        </m:r>
        <m:r>
          <m:t>d</m:t>
        </m:r>
        <m:r>
          <m:t>s</m:t>
        </m:r>
        <m:r>
          <m:rPr>
            <m:sty m:val="p"/>
          </m:rPr>
          <m:t>*</m:t>
        </m:r>
        <m:r>
          <m:rPr>
            <m:sty m:val="p"/>
          </m:rPr>
          <m:t>*</m:t>
        </m:r>
        <m:r>
          <m:rPr>
            <m:sty m:val="p"/>
          </m:rPr>
          <m:t>,</m:t>
        </m:r>
        <m:r>
          <m:t>m</m:t>
        </m:r>
        <m:r>
          <m:t>o</m:t>
        </m:r>
        <m:r>
          <m:t>s</m:t>
        </m:r>
        <m:r>
          <m:t>t</m:t>
        </m:r>
        <m:r>
          <m:t>o</m:t>
        </m:r>
        <m:r>
          <m:t>f</m:t>
        </m:r>
        <m:r>
          <m:t>w</m:t>
        </m:r>
        <m:r>
          <m:t>h</m:t>
        </m:r>
        <m:r>
          <m:t>i</m:t>
        </m:r>
        <m:r>
          <m:t>c</m:t>
        </m:r>
        <m:r>
          <m:t>h</m:t>
        </m:r>
        <m:r>
          <m:t>S</m:t>
        </m:r>
        <m:r>
          <m:t>W</m:t>
        </m:r>
        <m:r>
          <m:t>K</m:t>
        </m:r>
        <m:r>
          <m:t>i</m:t>
        </m:r>
        <m:r>
          <m:t>n</m:t>
        </m:r>
        <m:r>
          <m:t>i</m:t>
        </m:r>
        <m:r>
          <m:t>t</m:t>
        </m:r>
        <m:r>
          <m:t>i</m:t>
        </m:r>
        <m:r>
          <m:t>a</m:t>
        </m:r>
        <m:r>
          <m:t>l</m:t>
        </m:r>
        <m:r>
          <m:t>l</m:t>
        </m:r>
        <m:r>
          <m:t>y</m:t>
        </m:r>
        <m:r>
          <m:t>d</m:t>
        </m:r>
        <m:r>
          <m:t>i</m:t>
        </m:r>
        <m:r>
          <m:t>r</m:t>
        </m:r>
        <m:r>
          <m:t>e</m:t>
        </m:r>
        <m:r>
          <m:t>c</m:t>
        </m:r>
        <m:r>
          <m:t>t</m:t>
        </m:r>
        <m:r>
          <m:t>e</m:t>
        </m:r>
        <m:r>
          <m:t>d</m:t>
        </m:r>
        <m:r>
          <m:t>t</m:t>
        </m:r>
        <m:r>
          <m:t>o</m:t>
        </m:r>
        <m:r>
          <m:t>w</m:t>
        </m:r>
        <m:r>
          <m:t>a</m:t>
        </m:r>
        <m:r>
          <m:t>r</m:t>
        </m:r>
        <m:r>
          <m:t>d</m:t>
        </m:r>
        <m:r>
          <m:t>d</m:t>
        </m:r>
        <m:r>
          <m:t>e</m:t>
        </m:r>
        <m:r>
          <m:t>b</m:t>
        </m:r>
        <m:r>
          <m:t>t</m:t>
        </m:r>
        <m:r>
          <m:t>r</m:t>
        </m:r>
        <m:r>
          <m:t>e</m:t>
        </m:r>
        <m:r>
          <m:t>d</m:t>
        </m:r>
        <m:r>
          <m:t>u</m:t>
        </m:r>
        <m:r>
          <m:t>c</m:t>
        </m:r>
        <m:r>
          <m:t>t</m:t>
        </m:r>
        <m:r>
          <m:t>i</m:t>
        </m:r>
        <m:r>
          <m:t>o</m:t>
        </m:r>
        <m:r>
          <m:t>n</m:t>
        </m:r>
        <m:r>
          <m:rPr>
            <m:sty m:val="p"/>
          </m:rPr>
          <m:t>.</m:t>
        </m:r>
        <m:r>
          <m:t>T</m:t>
        </m:r>
        <m:r>
          <m:t>h</m:t>
        </m:r>
        <m:r>
          <m:t>e</m:t>
        </m:r>
        <m:r>
          <m:t>b</m:t>
        </m:r>
        <m:r>
          <m:t>o</m:t>
        </m:r>
        <m:r>
          <m:t>a</m:t>
        </m:r>
        <m:r>
          <m:t>r</m:t>
        </m:r>
        <m:r>
          <m:t>d</m:t>
        </m:r>
        <m:r>
          <m:t>a</m:t>
        </m:r>
        <m:r>
          <m:t>l</m:t>
        </m:r>
        <m:r>
          <m:t>s</m:t>
        </m:r>
        <m:r>
          <m:t>o</m:t>
        </m:r>
        <m:r>
          <m:t>a</m:t>
        </m:r>
        <m:r>
          <m:t>u</m:t>
        </m:r>
        <m:r>
          <m:t>t</m:t>
        </m:r>
        <m:r>
          <m:t>h</m:t>
        </m:r>
        <m:r>
          <m:t>o</m:t>
        </m:r>
        <m:r>
          <m:t>r</m:t>
        </m:r>
        <m:r>
          <m:t>i</m:t>
        </m:r>
        <m:r>
          <m:t>z</m:t>
        </m:r>
        <m:r>
          <m:t>e</m:t>
        </m:r>
        <m:r>
          <m:t>d</m:t>
        </m:r>
        <m:r>
          <m:rPr>
            <m:sty m:val="p"/>
          </m:rPr>
          <m:t>*</m:t>
        </m:r>
        <m:r>
          <m:rPr>
            <m:sty m:val="p"/>
          </m:rPr>
          <m:t>*</m:t>
        </m:r>
      </m:oMath>
      <w:r>
        <w:rPr>
          <w:b/>
          <w:bCs/>
        </w:rPr>
        <w:t xml:space="preserve">500 million of share repurchases</w:t>
      </w:r>
      <w:r>
        <w:t xml:space="preserve">, and management indicated that near-term capital allocation would be biased toward opportunistic buybacks.</w:t>
      </w:r>
    </w:p>
    <w:p>
      <w:pPr>
        <w:pStyle w:val="BodyText"/>
      </w:pPr>
      <w:r>
        <w:t xml:space="preserve">Investors should look for:</w:t>
      </w:r>
    </w:p>
    <w:p>
      <w:pPr>
        <w:pStyle w:val="Compact"/>
        <w:numPr>
          <w:ilvl w:val="0"/>
          <w:numId w:val="1010"/>
        </w:numPr>
      </w:pPr>
      <w:r>
        <w:t xml:space="preserve">The amount of stock repurchased during 2Q.</w:t>
      </w:r>
    </w:p>
    <w:p>
      <w:pPr>
        <w:pStyle w:val="Compact"/>
        <w:numPr>
          <w:ilvl w:val="0"/>
          <w:numId w:val="1010"/>
        </w:numPr>
      </w:pPr>
      <w:r>
        <w:t xml:space="preserve">Average repurchase price.</w:t>
      </w:r>
    </w:p>
    <w:p>
      <w:pPr>
        <w:pStyle w:val="Compact"/>
        <w:numPr>
          <w:ilvl w:val="0"/>
          <w:numId w:val="1010"/>
        </w:numPr>
      </w:pPr>
      <w:r>
        <w:t xml:space="preserve">Quarter-end net debt and leverage.</w:t>
      </w:r>
    </w:p>
    <w:p>
      <w:pPr>
        <w:pStyle w:val="Compact"/>
        <w:numPr>
          <w:ilvl w:val="0"/>
          <w:numId w:val="1010"/>
        </w:numPr>
      </w:pPr>
      <w:r>
        <w:t xml:space="preserve">Confirmation of the approximately 2.5x year-end leverage target.</w:t>
      </w:r>
    </w:p>
    <w:p>
      <w:pPr>
        <w:pStyle w:val="Compact"/>
        <w:numPr>
          <w:ilvl w:val="0"/>
          <w:numId w:val="1010"/>
        </w:numPr>
      </w:pPr>
      <w:r>
        <w:t xml:space="preserve">Whether further buybacks depend on second-half free-cash-flow delivery.</w:t>
      </w:r>
    </w:p>
    <w:p>
      <w:pPr>
        <w:pStyle w:val="FirstParagraph"/>
      </w:pPr>
      <w:r>
        <w:t xml:space="preserve">In June, SWK also renewed or amended</w:t>
      </w:r>
      <w:r>
        <w:t xml:space="preserve"> </w:t>
      </w:r>
      <w:r>
        <w:rPr>
          <w:b/>
          <w:bCs/>
        </w:rPr>
        <w:t xml:space="preserve">$3 billion of revolving credit capacity</w:t>
      </w:r>
      <w:r>
        <w:t xml:space="preserve">, consisting of a $1 billion 364-day facility and a $2 billion five-year facility. Neither was drawn at closing. This supports liquidity, but the investment case still depends on earnings and cash generation—not access to additional borrowing.</w:t>
      </w:r>
    </w:p>
    <w:p>
      <w:r>
        <w:pict>
          <v:rect style="width:0;height:1.5pt" o:hralign="center" o:hrstd="t" o:hr="t"/>
        </w:pict>
      </w:r>
    </w:p>
    <w:bookmarkEnd w:id="26"/>
    <w:bookmarkStart w:id="29" w:name="stock-setup-and-likely-reaction-function"/>
    <w:p>
      <w:pPr>
        <w:pStyle w:val="Heading2"/>
      </w:pPr>
      <w:r>
        <w:t xml:space="preserve">Stock setup and likely reaction function</w:t>
      </w:r>
    </w:p>
    <w:p>
      <w:pPr>
        <w:pStyle w:val="FirstParagraph"/>
      </w:pPr>
      <w:r>
        <w:t xml:space="preserve">At $94.21, SWK trades at approximately</w:t>
      </w:r>
      <w:r>
        <w:t xml:space="preserve"> </w:t>
      </w:r>
      <w:r>
        <w:rPr>
          <w:b/>
          <w:bCs/>
        </w:rPr>
        <w:t xml:space="preserve">17.6x</w:t>
      </w:r>
      <w:r>
        <w:t xml:space="preserve"> </w:t>
      </w:r>
      <w:r>
        <w:t xml:space="preserve">the $5.35 consensus 2026 adjusted-EPS estimate. The stock’s roughly 24% rise since the 1Q report suggests investors have already begun pricing in successful margin recovery, balance-sheet repair and capital returns.</w:t>
      </w:r>
    </w:p>
    <w:bookmarkStart w:id="27" w:name="likely-positive-reaction"/>
    <w:p>
      <w:pPr>
        <w:pStyle w:val="Heading3"/>
      </w:pPr>
      <w:r>
        <w:t xml:space="preserve">Likely positive reaction</w:t>
      </w:r>
    </w:p>
    <w:p>
      <w:pPr>
        <w:pStyle w:val="FirstParagraph"/>
      </w:pPr>
      <w:r>
        <w:t xml:space="preserve">A favorable report would probably require several of the following:</w:t>
      </w:r>
    </w:p>
    <w:p>
      <w:pPr>
        <w:pStyle w:val="Compact"/>
        <w:numPr>
          <w:ilvl w:val="0"/>
          <w:numId w:val="1011"/>
        </w:numPr>
      </w:pPr>
      <w:r>
        <w:t xml:space="preserve">Adjusted EPS above $1.25.</w:t>
      </w:r>
    </w:p>
    <w:p>
      <w:pPr>
        <w:pStyle w:val="Compact"/>
        <w:numPr>
          <w:ilvl w:val="0"/>
          <w:numId w:val="1011"/>
        </w:numPr>
      </w:pPr>
      <w:r>
        <w:t xml:space="preserve">Positive organic sales with evidence of volume stabilization.</w:t>
      </w:r>
    </w:p>
    <w:p>
      <w:pPr>
        <w:pStyle w:val="Compact"/>
        <w:numPr>
          <w:ilvl w:val="0"/>
          <w:numId w:val="1011"/>
        </w:numPr>
      </w:pPr>
      <w:r>
        <w:t xml:space="preserve">Adjusted gross margin above approximately 30.5%.</w:t>
      </w:r>
    </w:p>
    <w:p>
      <w:pPr>
        <w:pStyle w:val="Compact"/>
        <w:numPr>
          <w:ilvl w:val="0"/>
          <w:numId w:val="1011"/>
        </w:numPr>
      </w:pPr>
      <w:r>
        <w:t xml:space="preserve">Strong outdoor sell-through.</w:t>
      </w:r>
    </w:p>
    <w:p>
      <w:pPr>
        <w:pStyle w:val="Compact"/>
        <w:numPr>
          <w:ilvl w:val="0"/>
          <w:numId w:val="1011"/>
        </w:numPr>
      </w:pPr>
      <w:r>
        <w:t xml:space="preserve">Continued high-single-digit professional-channel growth.</w:t>
      </w:r>
    </w:p>
    <w:p>
      <w:pPr>
        <w:pStyle w:val="Compact"/>
        <w:numPr>
          <w:ilvl w:val="0"/>
          <w:numId w:val="1011"/>
        </w:numPr>
      </w:pPr>
      <w:r>
        <w:t xml:space="preserve">Full-year guidance maintained with bias toward the upper half.</w:t>
      </w:r>
    </w:p>
    <w:p>
      <w:pPr>
        <w:pStyle w:val="Compact"/>
        <w:numPr>
          <w:ilvl w:val="0"/>
          <w:numId w:val="1011"/>
        </w:numPr>
      </w:pPr>
      <w:r>
        <w:t xml:space="preserve">Tangible progress toward the year-end gross-margin objective.</w:t>
      </w:r>
    </w:p>
    <w:p>
      <w:pPr>
        <w:pStyle w:val="Compact"/>
        <w:numPr>
          <w:ilvl w:val="0"/>
          <w:numId w:val="1011"/>
        </w:numPr>
      </w:pPr>
      <w:r>
        <w:t xml:space="preserve">Meaningful share repurchases without compromising leverage.</w:t>
      </w:r>
    </w:p>
    <w:bookmarkEnd w:id="27"/>
    <w:bookmarkStart w:id="28" w:name="likely-negative-reaction"/>
    <w:p>
      <w:pPr>
        <w:pStyle w:val="Heading3"/>
      </w:pPr>
      <w:r>
        <w:t xml:space="preserve">Likely negative reaction</w:t>
      </w:r>
    </w:p>
    <w:p>
      <w:pPr>
        <w:pStyle w:val="FirstParagraph"/>
      </w:pPr>
      <w:r>
        <w:t xml:space="preserve">Potential pressure points include:</w:t>
      </w:r>
    </w:p>
    <w:p>
      <w:pPr>
        <w:pStyle w:val="Compact"/>
        <w:numPr>
          <w:ilvl w:val="0"/>
          <w:numId w:val="1012"/>
        </w:numPr>
      </w:pPr>
      <w:r>
        <w:t xml:space="preserve">An EPS beat caused primarily by tax or other below-the-line items.</w:t>
      </w:r>
    </w:p>
    <w:p>
      <w:pPr>
        <w:pStyle w:val="Compact"/>
        <w:numPr>
          <w:ilvl w:val="0"/>
          <w:numId w:val="1012"/>
        </w:numPr>
      </w:pPr>
      <w:r>
        <w:t xml:space="preserve">Organic growth supported by price but accompanied by continued sharp volume declines.</w:t>
      </w:r>
    </w:p>
    <w:p>
      <w:pPr>
        <w:pStyle w:val="Compact"/>
        <w:numPr>
          <w:ilvl w:val="0"/>
          <w:numId w:val="1012"/>
        </w:numPr>
      </w:pPr>
      <w:r>
        <w:t xml:space="preserve">Outdoor channel inventory concerns.</w:t>
      </w:r>
    </w:p>
    <w:p>
      <w:pPr>
        <w:pStyle w:val="Compact"/>
        <w:numPr>
          <w:ilvl w:val="0"/>
          <w:numId w:val="1012"/>
        </w:numPr>
      </w:pPr>
      <w:r>
        <w:t xml:space="preserve">Adjusted gross margin below 30%.</w:t>
      </w:r>
    </w:p>
    <w:p>
      <w:pPr>
        <w:pStyle w:val="Compact"/>
        <w:numPr>
          <w:ilvl w:val="0"/>
          <w:numId w:val="1012"/>
        </w:numPr>
      </w:pPr>
      <w:r>
        <w:t xml:space="preserve">Higher commodity inflation or renewed tariff pressure.</w:t>
      </w:r>
    </w:p>
    <w:p>
      <w:pPr>
        <w:pStyle w:val="Compact"/>
        <w:numPr>
          <w:ilvl w:val="0"/>
          <w:numId w:val="1012"/>
        </w:numPr>
      </w:pPr>
      <w:r>
        <w:t xml:space="preserve">A more back-end-loaded margin plan.</w:t>
      </w:r>
    </w:p>
    <w:p>
      <w:pPr>
        <w:pStyle w:val="Compact"/>
        <w:numPr>
          <w:ilvl w:val="0"/>
          <w:numId w:val="1012"/>
        </w:numPr>
      </w:pPr>
      <w:r>
        <w:t xml:space="preserve">Little or no buyback activity despite prior messaging.</w:t>
      </w:r>
    </w:p>
    <w:p>
      <w:pPr>
        <w:pStyle w:val="Compact"/>
        <w:numPr>
          <w:ilvl w:val="0"/>
          <w:numId w:val="1012"/>
        </w:numPr>
      </w:pPr>
      <w:r>
        <w:t xml:space="preserve">Any reduction in free-cash-flow expectations.</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rPr>
          <w:b/>
          <w:bCs/>
        </w:rPr>
        <w:t xml:space="preserve">The most important number is adjusted gross margin, not EPS.</w:t>
      </w:r>
    </w:p>
    <w:p>
      <w:pPr>
        <w:pStyle w:val="BodyText"/>
      </w:pPr>
      <w:r>
        <w:t xml:space="preserve">Consensus EPS of $1.20 already sits at the midpoint of SWK’s guidance, and the CAM sale complicates reported revenue and GAAP earnings. The report will be judged primarily on whether SWK demonstrates that its margin-recovery machinery—productivity, footprint reduction, sourcing changes and pricing—is beginning to work at the pace required for the second half.</w:t>
      </w:r>
    </w:p>
    <w:p>
      <w:pPr>
        <w:pStyle w:val="BodyText"/>
      </w:pPr>
      <w:r>
        <w:t xml:space="preserve">A clean quarter would consist of:</w:t>
      </w:r>
    </w:p>
    <w:p>
      <w:pPr>
        <w:pStyle w:val="Compact"/>
        <w:numPr>
          <w:ilvl w:val="0"/>
          <w:numId w:val="1013"/>
        </w:numPr>
      </w:pPr>
      <w:r>
        <w:t xml:space="preserve">Low-single-digit organic growth.</w:t>
      </w:r>
    </w:p>
    <w:p>
      <w:pPr>
        <w:pStyle w:val="Compact"/>
        <w:numPr>
          <w:ilvl w:val="0"/>
          <w:numId w:val="1013"/>
        </w:numPr>
      </w:pPr>
      <w:r>
        <w:t xml:space="preserve">Adjusted gross margin around or above 30.5%.</w:t>
      </w:r>
    </w:p>
    <w:p>
      <w:pPr>
        <w:pStyle w:val="Compact"/>
        <w:numPr>
          <w:ilvl w:val="0"/>
          <w:numId w:val="1013"/>
        </w:numPr>
      </w:pPr>
      <w:r>
        <w:t xml:space="preserve">Adjusted EPS at least near the top of the</w:t>
      </w:r>
      <w:r>
        <w:t xml:space="preserve"> </w:t>
      </w:r>
      <m:oMath>
        <m:r>
          <m:t>1.15</m:t>
        </m:r>
        <m:r>
          <m:rPr>
            <m:sty m:val="p"/>
          </m:rPr>
          <m:t>−</m:t>
        </m:r>
      </m:oMath>
      <w:r>
        <w:t xml:space="preserve">1.25 range.</w:t>
      </w:r>
    </w:p>
    <w:p>
      <w:pPr>
        <w:pStyle w:val="Compact"/>
        <w:numPr>
          <w:ilvl w:val="0"/>
          <w:numId w:val="1013"/>
        </w:numPr>
      </w:pPr>
      <w:r>
        <w:t xml:space="preserve">Reaffirmed full-year guidance.</w:t>
      </w:r>
    </w:p>
    <w:p>
      <w:pPr>
        <w:pStyle w:val="Compact"/>
        <w:numPr>
          <w:ilvl w:val="0"/>
          <w:numId w:val="1013"/>
        </w:numPr>
      </w:pPr>
      <w:r>
        <w:t xml:space="preserve">Continued confidence in the year-end gross-margin target.</w:t>
      </w:r>
    </w:p>
    <w:p>
      <w:pPr>
        <w:pStyle w:val="Compact"/>
        <w:numPr>
          <w:ilvl w:val="0"/>
          <w:numId w:val="1013"/>
        </w:numPr>
      </w:pPr>
      <w:r>
        <w:t xml:space="preserve">Evidence that debt reduction is transitioning into disciplined share repurchases.</w:t>
      </w:r>
    </w:p>
    <w:p>
      <w:pPr>
        <w:pStyle w:val="FirstParagraph"/>
      </w:pPr>
      <w:r>
        <w:t xml:space="preserve">Given the stock’s recent rally, merely meeting $1.20 with unchanged guidance may not be enough.</w:t>
      </w:r>
      <w:r>
        <w:t xml:space="preserve"> </w:t>
      </w:r>
      <w:r>
        <w:rPr>
          <w:b/>
          <w:bCs/>
        </w:rPr>
        <w:t xml:space="preserve">The upside case requires better margin quality and stronger confidence in the second-half bridge; the downside case is any indication that the margin recovery is slipping further into the future.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stanleyblackanddecker.com/news-events/press-releases/news-details/2026/Stanley-Black--Decker-Announces-Release-Date-for-Second-Quarter-2026-Earnings/default.aspx?utm_source=openai" TargetMode="External" /><Relationship Type="http://schemas.openxmlformats.org/officeDocument/2006/relationships/hyperlink" Id="rId14" Target="https://ir.stanleyblackanddecker.com/news-events/press-releases/news-details/2026/Stanley-Black--Decker-Reports-Strong-1Q-2026-Results/default.aspx?utm_source=openai" TargetMode="External" /><Relationship Type="http://schemas.openxmlformats.org/officeDocument/2006/relationships/hyperlink" Id="rId11" Target="https://www.barchart.com/stocks/quotes/SWK/earnings-estimates?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r.stanleyblackanddecker.com/news-events/press-releases/news-details/2026/Stanley-Black--Decker-Announces-Release-Date-for-Second-Quarter-2026-Earnings/default.aspx?utm_source=openai" TargetMode="External" /><Relationship Type="http://schemas.openxmlformats.org/officeDocument/2006/relationships/hyperlink" Id="rId14" Target="https://ir.stanleyblackanddecker.com/news-events/press-releases/news-details/2026/Stanley-Black--Decker-Reports-Strong-1Q-2026-Results/default.aspx?utm_source=openai" TargetMode="External" /><Relationship Type="http://schemas.openxmlformats.org/officeDocument/2006/relationships/hyperlink" Id="rId11" Target="https://www.barchart.com/stocks/quotes/SWK/earnings-estimate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2026-07-29T00:11:45Z</dcterms:created>
  <dcterms:modified xsi:type="dcterms:W3CDTF">2026-07-29T00:11:45Z</dcterms:modified>
</cp:coreProperties>
</file>

<file path=docProps/custom.xml><?xml version="1.0" encoding="utf-8"?>
<Properties xmlns="http://schemas.openxmlformats.org/officeDocument/2006/custom-properties" xmlns:vt="http://schemas.openxmlformats.org/officeDocument/2006/docPropsVTypes"/>
</file>