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wk-earnings-predictions--2026-07-29"/>
    <w:p>
      <w:pPr>
        <w:pStyle w:val="Heading1"/>
      </w:pPr>
      <w:r>
        <w:t xml:space="preserve">SWK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~$1.28 vs. cons $1.24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~+2.0% vs. cons +2.0%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gross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~30.1% vs. cons 30.5%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~$5.30 vs. cons $5.31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gross-margin expansion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~+150 bps vs. cons +150 bps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free-cash-flow midpoint, excluding CAM taxes and fees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~$800M vs. cons $805M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4Q26 adjusted gross-margin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~35.0% vs. cons 35.0% (4Q2026)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-7.0% (FOLLOW-THROUGH)</w:t>
            </w:r>
          </w:p>
        </w:tc>
        <w:tc>
          <w:tcPr/>
          <w:p>
            <w:pPr>
              <w:pStyle w:val="Compact"/>
            </w:pPr>
            <w:r>
              <w:t xml:space="preserve">EPS is likely helped by below-the-line interest savings, while an adjusted-GM print of ~30.1% versus ~30.5% consensus questions the required margin cadence. Reaffirming a ~</w:t>
            </w:r>
            <m:oMath>
              <m:r>
                <m:t>5.30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E</m:t>
              </m:r>
              <m:r>
                <m:t>P</m:t>
              </m:r>
              <m:r>
                <m:t>S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5.31 consensus leaves the second-half burden intact, so out-period estimates and the 4Q26 35.0% margin target remain vulnerable to downward revisions.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2026-07-29T00:11:03Z</dcterms:created>
  <dcterms:modified xsi:type="dcterms:W3CDTF">2026-07-29T00:11:03Z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