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Stanley Black &amp; Decker (SWK)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Stanley Black &amp; Decker, Inc.</w:t>
            </w:r>
          </w:p>
        </w:tc>
      </w:tr>
      <w:tr>
        <w:tc>
          <w:tcPr>
            <w:tcW w:type="dxa" w:w="4320"/>
          </w:tcPr>
          <w:p>
            <w:r>
              <w:rPr>
                <w:rFonts w:ascii="Calibri" w:hAnsi="Calibri"/>
                <w:b/>
                <w:sz w:val="22"/>
              </w:rPr>
              <w:t>Ticker</w:t>
            </w:r>
          </w:p>
        </w:tc>
        <w:tc>
          <w:tcPr>
            <w:tcW w:type="dxa" w:w="4320"/>
          </w:tcPr>
          <w:p>
            <w:r>
              <w:rPr>
                <w:rFonts w:ascii="Calibri" w:hAnsi="Calibri"/>
                <w:sz w:val="22"/>
              </w:rPr>
              <w:t>NYSE: SWK</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Upcoming Earnings Date</w:t>
            </w:r>
          </w:p>
        </w:tc>
        <w:tc>
          <w:tcPr>
            <w:tcW w:type="dxa" w:w="4320"/>
          </w:tcPr>
          <w:p>
            <w:r>
              <w:rPr>
                <w:rFonts w:ascii="Calibri" w:hAnsi="Calibri"/>
                <w:sz w:val="22"/>
              </w:rPr>
              <w:t>TBD (announced June 23, 2026 — date to be confirmed)</w:t>
            </w:r>
          </w:p>
        </w:tc>
      </w:tr>
      <w:tr>
        <w:tc>
          <w:tcPr>
            <w:tcW w:type="dxa" w:w="4320"/>
          </w:tcPr>
          <w:p>
            <w:r>
              <w:rPr>
                <w:rFonts w:ascii="Calibri" w:hAnsi="Calibri"/>
                <w:b/>
                <w:sz w:val="22"/>
              </w:rPr>
              <w:t>Last Earnings</w:t>
            </w:r>
          </w:p>
        </w:tc>
        <w:tc>
          <w:tcPr>
            <w:tcW w:type="dxa" w:w="4320"/>
          </w:tcPr>
          <w:p>
            <w:r>
              <w:rPr>
                <w:rFonts w:ascii="Calibri" w:hAnsi="Calibri"/>
                <w:sz w:val="22"/>
              </w:rPr>
              <w:t>Q1 2026, reported April 29, 2026</w:t>
            </w:r>
          </w:p>
        </w:tc>
      </w:tr>
      <w:tr>
        <w:tc>
          <w:tcPr>
            <w:tcW w:type="dxa" w:w="4320"/>
          </w:tcPr>
          <w:p>
            <w:r>
              <w:rPr>
                <w:rFonts w:ascii="Calibri" w:hAnsi="Calibri"/>
                <w:b/>
                <w:sz w:val="22"/>
              </w:rPr>
              <w:t>Preparation Date</w:t>
            </w:r>
          </w:p>
        </w:tc>
        <w:tc>
          <w:tcPr>
            <w:tcW w:type="dxa" w:w="4320"/>
          </w:tcPr>
          <w:p>
            <w:r>
              <w:rPr>
                <w:rFonts w:ascii="Calibri" w:hAnsi="Calibri"/>
                <w:sz w:val="22"/>
              </w:rPr>
              <w:t>July 28, 2026</w:t>
            </w:r>
          </w:p>
        </w:tc>
      </w:tr>
      <w:tr>
        <w:tc>
          <w:tcPr>
            <w:tcW w:type="dxa" w:w="4320"/>
          </w:tcPr>
          <w:p>
            <w:r>
              <w:rPr>
                <w:rFonts w:ascii="Calibri" w:hAnsi="Calibri"/>
                <w:b/>
                <w:sz w:val="22"/>
              </w:rPr>
              <w:t>Sector ETF</w:t>
            </w:r>
          </w:p>
        </w:tc>
        <w:tc>
          <w:tcPr>
            <w:tcW w:type="dxa" w:w="4320"/>
          </w:tcPr>
          <w:p>
            <w:r>
              <w:rPr>
                <w:rFonts w:ascii="Calibri" w:hAnsi="Calibri"/>
                <w:sz w:val="22"/>
              </w:rPr>
              <w:t>XLI (iShares U.S. Industrials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sits at ~$1.21 adjusted EPS on ~$3.96B revenue, both achievable given management's explicit Q2 guidance of $1.15–$1.25 EPS and ~$3.9B revenue, but the bar is not low given the stock's +24% run since the Q1 print; the biggest swing factor is whether gross margin expansion of ~300 bps YoY materializes as guided, or gets clipped by battery metals/tungsten inflation and tariff timing.</w:t>
      </w:r>
    </w:p>
    <w:p>
      <w:r>
        <w:rPr>
          <w:rFonts w:ascii="Calibri" w:hAnsi="Calibri"/>
          <w:color w:val="525866"/>
          <w:sz w:val="22"/>
        </w:rPr>
        <w:t xml:space="preserve">Heading into Q2 2026, SWK's setup is one of execution confirmation rather than surprise — management provided unusually precise Q2 guidance ($1.15–$1.25 EPS, ~$3.9B revenue, ~300 bps gross margin expansion YoY) at the April 29 print, leaving consensus tightly anchored to the midpoint. </w:t>
      </w:r>
      <w:r>
        <w:rPr>
          <w:rFonts w:ascii="Calibri" w:hAnsi="Calibri"/>
          <w:color w:val="525866"/>
          <w:sz w:val="22"/>
        </w:rPr>
        <w:t>The bar is moderate: consensus adjusted EPS of ~$1.21 sits near the midpoint of guidance, and organic revenue growth of ~+2% is consistent with management's "low single-digit" organic growth target for Q2.</w:t>
      </w:r>
      <w:r>
        <w:rPr>
          <w:rFonts w:ascii="Calibri" w:hAnsi="Calibri"/>
          <w:color w:val="525866"/>
          <w:sz w:val="22"/>
        </w:rPr>
        <w:t xml:space="preserve"> Management's tone at the June 9 Wells Fargo Industrials Conference was constructive — CEO Nelson reiterated the path to a ~34% gross margin exit rate by year-end 2026 and expressed confidence in the USMCA qualification ramp (targeting 75–85% by year-end vs. ~30% in Q1 2025), while flagging that tariff tailwinds from lower Section 122 rates are being offset nearly dollar-for-dollar by battery metals, tungsten, and resin inflation.</w:t>
      </w:r>
      <w:r>
        <w:rPr>
          <w:rFonts w:ascii="Calibri" w:hAnsi="Calibri"/>
          <w:color w:val="525866"/>
          <w:sz w:val="22"/>
        </w:rPr>
        <w:t xml:space="preserve"> Estimate revisions since the Q1 print have been essentially flat — Q2 EPS consensus moved from $1.20 to $1.21 and FY 2026 EPS from $5.39 to $5.37, suggesting the Street is tracking guidance rather than building in incremental optimism or pessimism.</w:t>
      </w:r>
      <w:r>
        <w:rPr>
          <w:rFonts w:ascii="Calibri" w:hAnsi="Calibri"/>
          <w:color w:val="525866"/>
          <w:sz w:val="22"/>
        </w:rPr>
        <w:t xml:space="preserve"> The stock's +24% move since April 29 (vs. XLI +7%, SPY +4%) has priced in meaningful transformation progress, leaving the multiple less forgiving — at ~17–18x NTM EPS, a miss on gross margin or a guidance cut would likely be punished.</w:t>
      </w:r>
      <w:r>
        <w:rPr>
          <w:rFonts w:ascii="Calibri" w:hAnsi="Calibri"/>
          <w:color w:val="525866"/>
          <w:sz w:val="22"/>
        </w:rPr>
        <w:t xml:space="preserve"> The key wildcard is the tariff/inflation offset: management's base case assumes Section 301 tariffs replace Section 122 rates around July 25, effectively resetting tariff costs to IEEPA-equivalent levels — any delay or further tariff relief could be a meaningful upside surprise, while a faster-than-expected ramp in battery metals or tungsten costs could compress margins below the guided ~300 bps improvement.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tightly anchored to management's own Q2 guidance midpoint. </w:t>
      </w:r>
      <w:r>
        <w:rPr>
          <w:rFonts w:ascii="Calibri" w:hAnsi="Calibri"/>
          <w:b/>
          <w:color w:val="525866"/>
          <w:sz w:val="22"/>
        </w:rPr>
        <w:t>Adjusted gross margin is the bigger swing factor</w:t>
      </w:r>
      <w:r>
        <w:rPr>
          <w:rFonts w:ascii="Calibri" w:hAnsi="Calibri"/>
          <w:color w:val="525866"/>
          <w:sz w:val="22"/>
        </w:rPr>
        <w:t>: the guided ~300 bps YoY improvement (to ~30.6%) is the most watched metric given the multi-year margin recovery narrative; organic revenue growth of ~+2% is a secondary but important confirmation of volume stabilization.</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$3.846B</w:t>
            </w:r>
          </w:p>
        </w:tc>
        <w:tc>
          <w:tcPr>
            <w:tcW w:type="dxa" w:w="1234"/>
          </w:tcPr>
          <w:p>
            <w:r>
              <w:rPr>
                <w:rFonts w:ascii="Calibri" w:hAnsi="Calibri"/>
                <w:sz w:val="22"/>
              </w:rPr>
              <w:t>$3.945B</w:t>
            </w:r>
          </w:p>
        </w:tc>
        <w:tc>
          <w:tcPr>
            <w:tcW w:type="dxa" w:w="1234"/>
          </w:tcPr>
          <w:p>
            <w:r>
              <w:rPr>
                <w:rFonts w:ascii="Calibri" w:hAnsi="Calibri"/>
                <w:sz w:val="22"/>
              </w:rPr>
              <w:t>$3.962B</w:t>
            </w:r>
          </w:p>
        </w:tc>
        <w:tc>
          <w:tcPr>
            <w:tcW w:type="dxa" w:w="1234"/>
          </w:tcPr>
          <w:p>
            <w:r>
              <w:rPr>
                <w:rFonts w:ascii="Calibri" w:hAnsi="Calibri"/>
                <w:sz w:val="22"/>
              </w:rPr>
              <w:t>+0.4% YoY</w:t>
            </w:r>
          </w:p>
        </w:tc>
        <w:tc>
          <w:tcPr>
            <w:tcW w:type="dxa" w:w="1234"/>
          </w:tcPr>
          <w:p>
            <w:r>
              <w:rPr>
                <w:rFonts w:ascii="Calibri" w:hAnsi="Calibri"/>
                <w:sz w:val="22"/>
              </w:rPr>
              <w:t>~$3.9B</w:t>
            </w:r>
          </w:p>
        </w:tc>
        <w:tc>
          <w:tcPr>
            <w:tcW w:type="dxa" w:w="1234"/>
          </w:tcPr>
          <w:p>
            <w:r>
              <w:rPr>
                <w:rFonts w:ascii="Calibri" w:hAnsi="Calibri"/>
                <w:sz w:val="22"/>
              </w:rPr>
              <w:t>+1.6% above guidance</w:t>
            </w:r>
          </w:p>
        </w:tc>
      </w:tr>
      <w:tr>
        <w:tc>
          <w:tcPr>
            <w:tcW w:type="dxa" w:w="1234"/>
          </w:tcPr>
          <w:p>
            <w:r>
              <w:rPr>
                <w:rFonts w:ascii="Calibri" w:hAnsi="Calibri"/>
                <w:sz w:val="22"/>
              </w:rPr>
              <w:t>Organic Revenue Growth (%)</w:t>
            </w:r>
          </w:p>
        </w:tc>
        <w:tc>
          <w:tcPr>
            <w:tcW w:type="dxa" w:w="1234"/>
          </w:tcPr>
          <w:p>
            <w:r>
              <w:rPr>
                <w:rFonts w:ascii="Calibri" w:hAnsi="Calibri"/>
                <w:sz w:val="22"/>
              </w:rPr>
              <w:t>~0.0%</w:t>
            </w:r>
          </w:p>
        </w:tc>
        <w:tc>
          <w:tcPr>
            <w:tcW w:type="dxa" w:w="1234"/>
          </w:tcPr>
          <w:p>
            <w:r>
              <w:rPr>
                <w:rFonts w:ascii="Calibri" w:hAnsi="Calibri"/>
                <w:sz w:val="22"/>
              </w:rPr>
              <w:t>-2.8%</w:t>
            </w:r>
          </w:p>
        </w:tc>
        <w:tc>
          <w:tcPr>
            <w:tcW w:type="dxa" w:w="1234"/>
          </w:tcPr>
          <w:p>
            <w:r>
              <w:rPr>
                <w:rFonts w:ascii="Calibri" w:hAnsi="Calibri"/>
                <w:sz w:val="22"/>
              </w:rPr>
              <w:t>+2.2%</w:t>
            </w:r>
          </w:p>
        </w:tc>
        <w:tc>
          <w:tcPr>
            <w:tcW w:type="dxa" w:w="1234"/>
          </w:tcPr>
          <w:p>
            <w:r>
              <w:rPr>
                <w:rFonts w:ascii="Calibri" w:hAnsi="Calibri"/>
                <w:sz w:val="22"/>
              </w:rPr>
              <w:t>+500 bps YoY</w:t>
            </w:r>
          </w:p>
        </w:tc>
        <w:tc>
          <w:tcPr>
            <w:tcW w:type="dxa" w:w="1234"/>
          </w:tcPr>
          <w:p>
            <w:r>
              <w:rPr>
                <w:rFonts w:ascii="Calibri" w:hAnsi="Calibri"/>
                <w:sz w:val="22"/>
              </w:rPr>
              <w:t>Low single-digit %</w:t>
            </w:r>
          </w:p>
        </w:tc>
        <w:tc>
          <w:tcPr>
            <w:tcW w:type="dxa" w:w="1234"/>
          </w:tcPr>
          <w:p>
            <w:r>
              <w:rPr>
                <w:rFonts w:ascii="Calibri" w:hAnsi="Calibri"/>
                <w:sz w:val="22"/>
              </w:rPr>
              <w:t>In line with guidance</w:t>
            </w:r>
          </w:p>
        </w:tc>
      </w:tr>
      <w:tr>
        <w:tc>
          <w:tcPr>
            <w:tcW w:type="dxa" w:w="1234"/>
          </w:tcPr>
          <w:p>
            <w:r>
              <w:rPr>
                <w:rFonts w:ascii="Calibri" w:hAnsi="Calibri"/>
                <w:sz w:val="22"/>
              </w:rPr>
              <w:t>Adj. Gross Margin (%)</w:t>
            </w:r>
          </w:p>
        </w:tc>
        <w:tc>
          <w:tcPr>
            <w:tcW w:type="dxa" w:w="1234"/>
          </w:tcPr>
          <w:p>
            <w:r>
              <w:rPr>
                <w:rFonts w:ascii="Calibri" w:hAnsi="Calibri"/>
                <w:sz w:val="22"/>
              </w:rPr>
              <w:t>30.2%</w:t>
            </w:r>
          </w:p>
        </w:tc>
        <w:tc>
          <w:tcPr>
            <w:tcW w:type="dxa" w:w="1234"/>
          </w:tcPr>
          <w:p>
            <w:r>
              <w:rPr>
                <w:rFonts w:ascii="Calibri" w:hAnsi="Calibri"/>
                <w:sz w:val="22"/>
              </w:rPr>
              <w:t>27.5%</w:t>
            </w:r>
          </w:p>
        </w:tc>
        <w:tc>
          <w:tcPr>
            <w:tcW w:type="dxa" w:w="1234"/>
          </w:tcPr>
          <w:p>
            <w:r>
              <w:rPr>
                <w:rFonts w:ascii="Calibri" w:hAnsi="Calibri"/>
                <w:sz w:val="22"/>
              </w:rPr>
              <w:t>30.6%</w:t>
            </w:r>
          </w:p>
        </w:tc>
        <w:tc>
          <w:tcPr>
            <w:tcW w:type="dxa" w:w="1234"/>
          </w:tcPr>
          <w:p>
            <w:r>
              <w:rPr>
                <w:rFonts w:ascii="Calibri" w:hAnsi="Calibri"/>
                <w:sz w:val="22"/>
              </w:rPr>
              <w:t>+310 bps YoY</w:t>
            </w:r>
          </w:p>
        </w:tc>
        <w:tc>
          <w:tcPr>
            <w:tcW w:type="dxa" w:w="1234"/>
          </w:tcPr>
          <w:p>
            <w:r>
              <w:rPr>
                <w:rFonts w:ascii="Calibri" w:hAnsi="Calibri"/>
                <w:sz w:val="22"/>
              </w:rPr>
              <w:t>~300 bps YoY improvement</w:t>
            </w:r>
          </w:p>
        </w:tc>
        <w:tc>
          <w:tcPr>
            <w:tcW w:type="dxa" w:w="1234"/>
          </w:tcPr>
          <w:p>
            <w:r>
              <w:rPr>
                <w:rFonts w:ascii="Calibri" w:hAnsi="Calibri"/>
                <w:sz w:val="22"/>
              </w:rPr>
              <w:t>~+10 bps above guidance midpoint</w:t>
            </w:r>
          </w:p>
        </w:tc>
      </w:tr>
      <w:tr>
        <w:tc>
          <w:tcPr>
            <w:tcW w:type="dxa" w:w="1234"/>
          </w:tcPr>
          <w:p>
            <w:r>
              <w:rPr>
                <w:rFonts w:ascii="Calibri" w:hAnsi="Calibri"/>
                <w:sz w:val="22"/>
              </w:rPr>
              <w:t>Adj. EPS — Diluted ($)</w:t>
            </w:r>
          </w:p>
        </w:tc>
        <w:tc>
          <w:tcPr>
            <w:tcW w:type="dxa" w:w="1234"/>
          </w:tcPr>
          <w:p>
            <w:r>
              <w:rPr>
                <w:rFonts w:ascii="Calibri" w:hAnsi="Calibri"/>
                <w:sz w:val="22"/>
              </w:rPr>
              <w:t>$0.80</w:t>
            </w:r>
          </w:p>
        </w:tc>
        <w:tc>
          <w:tcPr>
            <w:tcW w:type="dxa" w:w="1234"/>
          </w:tcPr>
          <w:p>
            <w:r>
              <w:rPr>
                <w:rFonts w:ascii="Calibri" w:hAnsi="Calibri"/>
                <w:sz w:val="22"/>
              </w:rPr>
              <w:t>$1.08</w:t>
            </w:r>
          </w:p>
        </w:tc>
        <w:tc>
          <w:tcPr>
            <w:tcW w:type="dxa" w:w="1234"/>
          </w:tcPr>
          <w:p>
            <w:r>
              <w:rPr>
                <w:rFonts w:ascii="Calibri" w:hAnsi="Calibri"/>
                <w:sz w:val="22"/>
              </w:rPr>
              <w:t>$1.21</w:t>
            </w:r>
          </w:p>
        </w:tc>
        <w:tc>
          <w:tcPr>
            <w:tcW w:type="dxa" w:w="1234"/>
          </w:tcPr>
          <w:p>
            <w:r>
              <w:rPr>
                <w:rFonts w:ascii="Calibri" w:hAnsi="Calibri"/>
                <w:sz w:val="22"/>
              </w:rPr>
              <w:t>+12.0% YoY</w:t>
            </w:r>
          </w:p>
        </w:tc>
        <w:tc>
          <w:tcPr>
            <w:tcW w:type="dxa" w:w="1234"/>
          </w:tcPr>
          <w:p>
            <w:r>
              <w:rPr>
                <w:rFonts w:ascii="Calibri" w:hAnsi="Calibri"/>
                <w:sz w:val="22"/>
              </w:rPr>
              <w:t>$1.15–$1.25 ($1.20 mid)</w:t>
            </w:r>
          </w:p>
        </w:tc>
        <w:tc>
          <w:tcPr>
            <w:tcW w:type="dxa" w:w="1234"/>
          </w:tcPr>
          <w:p>
            <w:r>
              <w:rPr>
                <w:rFonts w:ascii="Calibri" w:hAnsi="Calibri"/>
                <w:sz w:val="22"/>
              </w:rPr>
              <w:t>+0.8% above midpoint</w:t>
            </w:r>
          </w:p>
        </w:tc>
      </w:tr>
      <w:tr>
        <w:tc>
          <w:tcPr>
            <w:tcW w:type="dxa" w:w="1234"/>
          </w:tcPr>
          <w:p>
            <w:r>
              <w:rPr>
                <w:rFonts w:ascii="Calibri" w:hAnsi="Calibri"/>
                <w:sz w:val="22"/>
              </w:rPr>
              <w:t>Adj. Operating Income ($M)</w:t>
            </w:r>
          </w:p>
        </w:tc>
        <w:tc>
          <w:tcPr>
            <w:tcW w:type="dxa" w:w="1234"/>
          </w:tcPr>
          <w:p>
            <w:r>
              <w:rPr>
                <w:rFonts w:ascii="Calibri" w:hAnsi="Calibri"/>
                <w:sz w:val="22"/>
              </w:rPr>
              <w:t>$286M</w:t>
            </w:r>
          </w:p>
        </w:tc>
        <w:tc>
          <w:tcPr>
            <w:tcW w:type="dxa" w:w="1234"/>
          </w:tcPr>
          <w:p>
            <w:r>
              <w:rPr>
                <w:rFonts w:ascii="Calibri" w:hAnsi="Calibri"/>
                <w:sz w:val="22"/>
              </w:rPr>
              <w:t>$266M</w:t>
            </w:r>
          </w:p>
        </w:tc>
        <w:tc>
          <w:tcPr>
            <w:tcW w:type="dxa" w:w="1234"/>
          </w:tcPr>
          <w:p>
            <w:r>
              <w:rPr>
                <w:rFonts w:ascii="Calibri" w:hAnsi="Calibri"/>
                <w:sz w:val="22"/>
              </w:rPr>
              <w:t>$359M</w:t>
            </w:r>
          </w:p>
        </w:tc>
        <w:tc>
          <w:tcPr>
            <w:tcW w:type="dxa" w:w="1234"/>
          </w:tcPr>
          <w:p>
            <w:r>
              <w:rPr>
                <w:rFonts w:ascii="Calibri" w:hAnsi="Calibri"/>
                <w:sz w:val="22"/>
              </w:rPr>
              <w:t>+35.1% YoY</w:t>
            </w:r>
          </w:p>
        </w:tc>
        <w:tc>
          <w:tcPr>
            <w:tcW w:type="dxa" w:w="1234"/>
          </w:tcPr>
          <w:p>
            <w:r>
              <w:rPr>
                <w:rFonts w:ascii="Calibri" w:hAnsi="Calibri"/>
                <w:sz w:val="22"/>
              </w:rPr>
              <w:t>N/A (implied by EPS guide)</w:t>
            </w:r>
          </w:p>
        </w:tc>
        <w:tc>
          <w:tcPr>
            <w:tcW w:type="dxa" w:w="1234"/>
          </w:tcPr>
          <w:p>
            <w:r>
              <w:rPr>
                <w:rFonts w:ascii="Calibri" w:hAnsi="Calibri"/>
                <w:sz w:val="22"/>
              </w:rPr>
              <w:t>N/A</w:t>
            </w:r>
          </w:p>
        </w:tc>
      </w:tr>
      <w:tr>
        <w:tc>
          <w:tcPr>
            <w:tcW w:type="dxa" w:w="1234"/>
          </w:tcPr>
          <w:p>
            <w:r>
              <w:rPr>
                <w:rFonts w:ascii="Calibri" w:hAnsi="Calibri"/>
                <w:sz w:val="22"/>
              </w:rPr>
              <w:t>Adj. Operating Margin (%)</w:t>
            </w:r>
          </w:p>
        </w:tc>
        <w:tc>
          <w:tcPr>
            <w:tcW w:type="dxa" w:w="1234"/>
          </w:tcPr>
          <w:p>
            <w:r>
              <w:rPr>
                <w:rFonts w:ascii="Calibri" w:hAnsi="Calibri"/>
                <w:sz w:val="22"/>
              </w:rPr>
              <w:t>7.4%</w:t>
            </w:r>
          </w:p>
        </w:tc>
        <w:tc>
          <w:tcPr>
            <w:tcW w:type="dxa" w:w="1234"/>
          </w:tcPr>
          <w:p>
            <w:r>
              <w:rPr>
                <w:rFonts w:ascii="Calibri" w:hAnsi="Calibri"/>
                <w:sz w:val="22"/>
              </w:rPr>
              <w:t>6.7%</w:t>
            </w:r>
          </w:p>
        </w:tc>
        <w:tc>
          <w:tcPr>
            <w:tcW w:type="dxa" w:w="1234"/>
          </w:tcPr>
          <w:p>
            <w:r>
              <w:rPr>
                <w:rFonts w:ascii="Calibri" w:hAnsi="Calibri"/>
                <w:sz w:val="22"/>
              </w:rPr>
              <w:t>9.1%</w:t>
            </w:r>
          </w:p>
        </w:tc>
        <w:tc>
          <w:tcPr>
            <w:tcW w:type="dxa" w:w="1234"/>
          </w:tcPr>
          <w:p>
            <w:r>
              <w:rPr>
                <w:rFonts w:ascii="Calibri" w:hAnsi="Calibri"/>
                <w:sz w:val="22"/>
              </w:rPr>
              <w:t>+240 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Tools &amp; Storage Revenue ($B)</w:t>
            </w:r>
          </w:p>
        </w:tc>
        <w:tc>
          <w:tcPr>
            <w:tcW w:type="dxa" w:w="1234"/>
          </w:tcPr>
          <w:p>
            <w:r>
              <w:rPr>
                <w:rFonts w:ascii="Calibri" w:hAnsi="Calibri"/>
                <w:sz w:val="22"/>
              </w:rPr>
              <w:t>$3.336B</w:t>
            </w:r>
          </w:p>
        </w:tc>
        <w:tc>
          <w:tcPr>
            <w:tcW w:type="dxa" w:w="1234"/>
          </w:tcPr>
          <w:p>
            <w:r>
              <w:rPr>
                <w:rFonts w:ascii="Calibri" w:hAnsi="Calibri"/>
                <w:sz w:val="22"/>
              </w:rPr>
              <w:t>$3.461B</w:t>
            </w:r>
          </w:p>
        </w:tc>
        <w:tc>
          <w:tcPr>
            <w:tcW w:type="dxa" w:w="1234"/>
          </w:tcPr>
          <w:p>
            <w:r>
              <w:rPr>
                <w:rFonts w:ascii="Calibri" w:hAnsi="Calibri"/>
                <w:sz w:val="22"/>
              </w:rPr>
              <w:t>$3.568B</w:t>
            </w:r>
          </w:p>
        </w:tc>
        <w:tc>
          <w:tcPr>
            <w:tcW w:type="dxa" w:w="1234"/>
          </w:tcPr>
          <w:p>
            <w:r>
              <w:rPr>
                <w:rFonts w:ascii="Calibri" w:hAnsi="Calibri"/>
                <w:sz w:val="22"/>
              </w:rPr>
              <w:t>+3.1% YoY</w:t>
            </w:r>
          </w:p>
        </w:tc>
        <w:tc>
          <w:tcPr>
            <w:tcW w:type="dxa" w:w="1234"/>
          </w:tcPr>
          <w:p>
            <w:r>
              <w:rPr>
                <w:rFonts w:ascii="Calibri" w:hAnsi="Calibri"/>
                <w:sz w:val="22"/>
              </w:rPr>
              <w:t>N/A (segment-level)</w:t>
            </w:r>
          </w:p>
        </w:tc>
        <w:tc>
          <w:tcPr>
            <w:tcW w:type="dxa" w:w="1234"/>
          </w:tcPr>
          <w:p>
            <w:r>
              <w:rPr>
                <w:rFonts w:ascii="Calibri" w:hAnsi="Calibri"/>
                <w:sz w:val="22"/>
              </w:rPr>
              <w:t>N/A</w:t>
            </w:r>
          </w:p>
        </w:tc>
      </w:tr>
      <w:tr>
        <w:tc>
          <w:tcPr>
            <w:tcW w:type="dxa" w:w="1234"/>
          </w:tcPr>
          <w:p>
            <w:r>
              <w:rPr>
                <w:rFonts w:ascii="Calibri" w:hAnsi="Calibri"/>
                <w:sz w:val="22"/>
              </w:rPr>
              <w:t>Engineered Fastening Revenue ($M)</w:t>
            </w:r>
          </w:p>
        </w:tc>
        <w:tc>
          <w:tcPr>
            <w:tcW w:type="dxa" w:w="1234"/>
          </w:tcPr>
          <w:p>
            <w:r>
              <w:rPr>
                <w:rFonts w:ascii="Calibri" w:hAnsi="Calibri"/>
                <w:sz w:val="22"/>
              </w:rPr>
              <w:t>$511M</w:t>
            </w:r>
          </w:p>
        </w:tc>
        <w:tc>
          <w:tcPr>
            <w:tcW w:type="dxa" w:w="1234"/>
          </w:tcPr>
          <w:p>
            <w:r>
              <w:rPr>
                <w:rFonts w:ascii="Calibri" w:hAnsi="Calibri"/>
                <w:sz w:val="22"/>
              </w:rPr>
              <w:t>$484M</w:t>
            </w:r>
          </w:p>
        </w:tc>
        <w:tc>
          <w:tcPr>
            <w:tcW w:type="dxa" w:w="1234"/>
          </w:tcPr>
          <w:p>
            <w:r>
              <w:rPr>
                <w:rFonts w:ascii="Calibri" w:hAnsi="Calibri"/>
                <w:sz w:val="22"/>
              </w:rPr>
              <w:t>$396M</w:t>
            </w:r>
          </w:p>
        </w:tc>
        <w:tc>
          <w:tcPr>
            <w:tcW w:type="dxa" w:w="1234"/>
          </w:tcPr>
          <w:p>
            <w:r>
              <w:rPr>
                <w:rFonts w:ascii="Calibri" w:hAnsi="Calibri"/>
                <w:sz w:val="22"/>
              </w:rPr>
              <w:t>-18.2% YoY (CAM divested)</w:t>
            </w:r>
          </w:p>
        </w:tc>
        <w:tc>
          <w:tcPr>
            <w:tcW w:type="dxa" w:w="1234"/>
          </w:tcPr>
          <w:p>
            <w:r>
              <w:rPr>
                <w:rFonts w:ascii="Calibri" w:hAnsi="Calibri"/>
                <w:sz w:val="22"/>
              </w:rPr>
              <w:t>Low-to-mid single-digit organic growth</w:t>
            </w:r>
          </w:p>
        </w:tc>
        <w:tc>
          <w:tcPr>
            <w:tcW w:type="dxa" w:w="1234"/>
          </w:tcPr>
          <w:p>
            <w:r>
              <w:rPr>
                <w:rFonts w:ascii="Calibri" w:hAnsi="Calibri"/>
                <w:sz w:val="22"/>
              </w:rPr>
              <w:t>N/A (CAM impact)</w:t>
            </w:r>
          </w:p>
        </w:tc>
      </w:tr>
      <w:tr>
        <w:tc>
          <w:tcPr>
            <w:tcW w:type="dxa" w:w="1234"/>
          </w:tcPr>
          <w:p>
            <w:r>
              <w:rPr>
                <w:rFonts w:ascii="Calibri" w:hAnsi="Calibri"/>
                <w:sz w:val="22"/>
              </w:rPr>
              <w:t>Free Cash Flow ($M)</w:t>
            </w:r>
          </w:p>
        </w:tc>
        <w:tc>
          <w:tcPr>
            <w:tcW w:type="dxa" w:w="1234"/>
          </w:tcPr>
          <w:p>
            <w:r>
              <w:rPr>
                <w:rFonts w:ascii="Calibri" w:hAnsi="Calibri"/>
                <w:sz w:val="22"/>
              </w:rPr>
              <w:t>-$447M</w:t>
            </w:r>
          </w:p>
        </w:tc>
        <w:tc>
          <w:tcPr>
            <w:tcW w:type="dxa" w:w="1234"/>
          </w:tcPr>
          <w:p>
            <w:r>
              <w:rPr>
                <w:rFonts w:ascii="Calibri" w:hAnsi="Calibri"/>
                <w:sz w:val="22"/>
              </w:rPr>
              <w:t>$135M</w:t>
            </w:r>
          </w:p>
        </w:tc>
        <w:tc>
          <w:tcPr>
            <w:tcW w:type="dxa" w:w="1234"/>
          </w:tcPr>
          <w:p>
            <w:r>
              <w:rPr>
                <w:rFonts w:ascii="Calibri" w:hAnsi="Calibri"/>
                <w:sz w:val="22"/>
              </w:rPr>
              <w:t>$420M</w:t>
            </w:r>
          </w:p>
        </w:tc>
        <w:tc>
          <w:tcPr>
            <w:tcW w:type="dxa" w:w="1234"/>
          </w:tcPr>
          <w:p>
            <w:r>
              <w:rPr>
                <w:rFonts w:ascii="Calibri" w:hAnsi="Calibri"/>
                <w:sz w:val="22"/>
              </w:rPr>
              <w:t>N/M (seasonal)</w:t>
            </w:r>
          </w:p>
        </w:tc>
        <w:tc>
          <w:tcPr>
            <w:tcW w:type="dxa" w:w="1234"/>
          </w:tcPr>
          <w:p>
            <w:r>
              <w:rPr>
                <w:rFonts w:ascii="Calibri" w:hAnsi="Calibri"/>
                <w:sz w:val="22"/>
              </w:rPr>
              <w:t>$500–$700M FY (incl. CAM taxes)</w:t>
            </w:r>
          </w:p>
        </w:tc>
        <w:tc>
          <w:tcPr>
            <w:tcW w:type="dxa" w:w="1234"/>
          </w:tcPr>
          <w:p>
            <w:r>
              <w:rPr>
                <w:rFonts w:ascii="Calibri" w:hAnsi="Calibri"/>
                <w:sz w:val="22"/>
              </w:rPr>
              <w:t>N/A (FY metric)</w:t>
            </w:r>
          </w:p>
        </w:tc>
      </w:tr>
    </w:tbl>
    <w:p>
      <w:r>
        <w:rPr>
          <w:rFonts w:ascii="Calibri" w:hAnsi="Calibri"/>
          <w:i/>
          <w:color w:val="525866"/>
          <w:sz w:val="22"/>
        </w:rPr>
        <w:t>Source: Visible Alpha Consensus and Actuals Data. Engineered Fastening Q2 2026 consensus reflects post-CAM divestiture (closed April 6, 2026) segment structure. Q1 2026 Actual EPS of $0.80 was $0.20 above the high end of guidance ($0.55–$0.60), driven by outdoor preseason outperformance and a favorable tax rate timing benefit.</w:t>
      </w:r>
    </w:p>
    <w:p>
      <w:pPr>
        <w:pStyle w:val="Heading3"/>
      </w:pPr>
      <w:r>
        <w:rPr>
          <w:rFonts w:ascii="Calibri" w:hAnsi="Calibri"/>
          <w:b/>
          <w:color w:val="3B4259"/>
          <w:sz w:val="24"/>
        </w:rPr>
        <w:t>Table 2 — Beat/Miss History: Last 8 Quarters (Top 2 KPIs: Adj. EPS &amp; Net Sales)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$0.80</w:t>
            </w:r>
          </w:p>
        </w:tc>
        <w:tc>
          <w:tcPr>
            <w:tcW w:type="dxa" w:w="1440"/>
          </w:tcPr>
          <w:p>
            <w:r>
              <w:rPr>
                <w:rFonts w:ascii="Calibri" w:hAnsi="Calibri"/>
                <w:sz w:val="22"/>
              </w:rPr>
              <w:t>$0.63</w:t>
            </w:r>
          </w:p>
        </w:tc>
        <w:tc>
          <w:tcPr>
            <w:tcW w:type="dxa" w:w="1440"/>
          </w:tcPr>
          <w:p>
            <w:r>
              <w:rPr>
                <w:rFonts w:ascii="Calibri" w:hAnsi="Calibri"/>
                <w:b/>
                <w:color w:val="30A46C"/>
                <w:sz w:val="22"/>
              </w:rPr>
              <w:t>+27.0%</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Net Sales</w:t>
            </w:r>
          </w:p>
        </w:tc>
        <w:tc>
          <w:tcPr>
            <w:tcW w:type="dxa" w:w="1440"/>
          </w:tcPr>
          <w:p>
            <w:r>
              <w:rPr>
                <w:rFonts w:ascii="Calibri" w:hAnsi="Calibri"/>
                <w:sz w:val="22"/>
              </w:rPr>
              <w:t>$3.846B</w:t>
            </w:r>
          </w:p>
        </w:tc>
        <w:tc>
          <w:tcPr>
            <w:tcW w:type="dxa" w:w="1440"/>
          </w:tcPr>
          <w:p>
            <w:r>
              <w:rPr>
                <w:rFonts w:ascii="Calibri" w:hAnsi="Calibri"/>
                <w:sz w:val="22"/>
              </w:rPr>
              <w:t>$3.746B</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$1.41</w:t>
            </w:r>
          </w:p>
        </w:tc>
        <w:tc>
          <w:tcPr>
            <w:tcW w:type="dxa" w:w="1440"/>
          </w:tcPr>
          <w:p>
            <w:r>
              <w:rPr>
                <w:rFonts w:ascii="Calibri" w:hAnsi="Calibri"/>
                <w:sz w:val="22"/>
              </w:rPr>
              <w:t>$1.28</w:t>
            </w:r>
          </w:p>
        </w:tc>
        <w:tc>
          <w:tcPr>
            <w:tcW w:type="dxa" w:w="1440"/>
          </w:tcPr>
          <w:p>
            <w:r>
              <w:rPr>
                <w:rFonts w:ascii="Calibri" w:hAnsi="Calibri"/>
                <w:b/>
                <w:color w:val="30A46C"/>
                <w:sz w:val="22"/>
              </w:rPr>
              <w:t>+10.2%</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Net Sales</w:t>
            </w:r>
          </w:p>
        </w:tc>
        <w:tc>
          <w:tcPr>
            <w:tcW w:type="dxa" w:w="1440"/>
          </w:tcPr>
          <w:p>
            <w:r>
              <w:rPr>
                <w:rFonts w:ascii="Calibri" w:hAnsi="Calibri"/>
                <w:sz w:val="22"/>
              </w:rPr>
              <w:t>$3.685B</w:t>
            </w:r>
          </w:p>
        </w:tc>
        <w:tc>
          <w:tcPr>
            <w:tcW w:type="dxa" w:w="1440"/>
          </w:tcPr>
          <w:p>
            <w:r>
              <w:rPr>
                <w:rFonts w:ascii="Calibri" w:hAnsi="Calibri"/>
                <w:sz w:val="22"/>
              </w:rPr>
              <w:t>$3.769B</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$1.43</w:t>
            </w:r>
          </w:p>
        </w:tc>
        <w:tc>
          <w:tcPr>
            <w:tcW w:type="dxa" w:w="1440"/>
          </w:tcPr>
          <w:p>
            <w:r>
              <w:rPr>
                <w:rFonts w:ascii="Calibri" w:hAnsi="Calibri"/>
                <w:sz w:val="22"/>
              </w:rPr>
              <w:t>$1.20</w:t>
            </w:r>
          </w:p>
        </w:tc>
        <w:tc>
          <w:tcPr>
            <w:tcW w:type="dxa" w:w="1440"/>
          </w:tcPr>
          <w:p>
            <w:r>
              <w:rPr>
                <w:rFonts w:ascii="Calibri" w:hAnsi="Calibri"/>
                <w:b/>
                <w:color w:val="30A46C"/>
                <w:sz w:val="22"/>
              </w:rPr>
              <w:t>+19.2%</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Net Sales</w:t>
            </w:r>
          </w:p>
        </w:tc>
        <w:tc>
          <w:tcPr>
            <w:tcW w:type="dxa" w:w="1440"/>
          </w:tcPr>
          <w:p>
            <w:r>
              <w:rPr>
                <w:rFonts w:ascii="Calibri" w:hAnsi="Calibri"/>
                <w:sz w:val="22"/>
              </w:rPr>
              <w:t>$3.756B</w:t>
            </w:r>
          </w:p>
        </w:tc>
        <w:tc>
          <w:tcPr>
            <w:tcW w:type="dxa" w:w="1440"/>
          </w:tcPr>
          <w:p>
            <w:r>
              <w:rPr>
                <w:rFonts w:ascii="Calibri" w:hAnsi="Calibri"/>
                <w:sz w:val="22"/>
              </w:rPr>
              <w:t>$3.769B</w:t>
            </w:r>
          </w:p>
        </w:tc>
        <w:tc>
          <w:tcPr>
            <w:tcW w:type="dxa" w:w="1440"/>
          </w:tcPr>
          <w:p>
            <w:r>
              <w:rPr>
                <w:rFonts w:ascii="Calibri" w:hAnsi="Calibri"/>
                <w:sz w:val="22"/>
              </w:rPr>
              <w:t>-0.3%</w:t>
            </w:r>
          </w:p>
        </w:tc>
        <w:tc>
          <w:tcPr>
            <w:tcW w:type="dxa" w:w="1440"/>
          </w:tcPr>
          <w:p>
            <w:r>
              <w:rPr>
                <w:rFonts w:ascii="Calibri" w:hAnsi="Calibri"/>
                <w:sz w:val="22"/>
              </w:rPr>
              <w:t>SLIGHT MISS</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$1.08</w:t>
            </w:r>
          </w:p>
        </w:tc>
        <w:tc>
          <w:tcPr>
            <w:tcW w:type="dxa" w:w="1440"/>
          </w:tcPr>
          <w:p>
            <w:r>
              <w:rPr>
                <w:rFonts w:ascii="Calibri" w:hAnsi="Calibri"/>
                <w:sz w:val="22"/>
              </w:rPr>
              <w:t>$0.46</w:t>
            </w:r>
          </w:p>
        </w:tc>
        <w:tc>
          <w:tcPr>
            <w:tcW w:type="dxa" w:w="1440"/>
          </w:tcPr>
          <w:p>
            <w:r>
              <w:rPr>
                <w:rFonts w:ascii="Calibri" w:hAnsi="Calibri"/>
                <w:b/>
                <w:color w:val="30A46C"/>
                <w:sz w:val="22"/>
              </w:rPr>
              <w:t>+134.8%</w:t>
            </w:r>
          </w:p>
        </w:tc>
        <w:tc>
          <w:tcPr>
            <w:tcW w:type="dxa" w:w="1440"/>
          </w:tcPr>
          <w:p>
            <w:r>
              <w:rPr>
                <w:rFonts w:ascii="Calibri" w:hAnsi="Calibri"/>
                <w:sz w:val="22"/>
              </w:rPr>
              <w:t>LARGE BEAT</w:t>
            </w:r>
          </w:p>
        </w:tc>
      </w:tr>
      <w:tr>
        <w:tc>
          <w:tcPr>
            <w:tcW w:type="dxa" w:w="1440"/>
          </w:tcPr>
          <w:p>
            <w:r>
              <w:rPr>
                <w:rFonts w:ascii="Calibri" w:hAnsi="Calibri"/>
                <w:sz w:val="22"/>
              </w:rPr>
              <w:t>Q2 2025</w:t>
            </w:r>
          </w:p>
        </w:tc>
        <w:tc>
          <w:tcPr>
            <w:tcW w:type="dxa" w:w="1440"/>
          </w:tcPr>
          <w:p>
            <w:r>
              <w:rPr>
                <w:rFonts w:ascii="Calibri" w:hAnsi="Calibri"/>
                <w:sz w:val="22"/>
              </w:rPr>
              <w:t>Net Sales</w:t>
            </w:r>
          </w:p>
        </w:tc>
        <w:tc>
          <w:tcPr>
            <w:tcW w:type="dxa" w:w="1440"/>
          </w:tcPr>
          <w:p>
            <w:r>
              <w:rPr>
                <w:rFonts w:ascii="Calibri" w:hAnsi="Calibri"/>
                <w:sz w:val="22"/>
              </w:rPr>
              <w:t>$3.945B</w:t>
            </w:r>
          </w:p>
        </w:tc>
        <w:tc>
          <w:tcPr>
            <w:tcW w:type="dxa" w:w="1440"/>
          </w:tcPr>
          <w:p>
            <w:r>
              <w:rPr>
                <w:rFonts w:ascii="Calibri" w:hAnsi="Calibri"/>
                <w:sz w:val="22"/>
              </w:rPr>
              <w:t>$4.012B</w:t>
            </w:r>
          </w:p>
        </w:tc>
        <w:tc>
          <w:tcPr>
            <w:tcW w:type="dxa" w:w="1440"/>
          </w:tcPr>
          <w:p>
            <w:r>
              <w:rPr>
                <w:rFonts w:ascii="Calibri" w:hAnsi="Calibri"/>
                <w:b/>
                <w:color w:val="E5484D"/>
                <w:sz w:val="22"/>
              </w:rPr>
              <w:t>-1.7%</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$0.75</w:t>
            </w:r>
          </w:p>
        </w:tc>
        <w:tc>
          <w:tcPr>
            <w:tcW w:type="dxa" w:w="1440"/>
          </w:tcPr>
          <w:p>
            <w:r>
              <w:rPr>
                <w:rFonts w:ascii="Calibri" w:hAnsi="Calibri"/>
                <w:sz w:val="22"/>
              </w:rPr>
              <w:t>$0.64</w:t>
            </w:r>
          </w:p>
        </w:tc>
        <w:tc>
          <w:tcPr>
            <w:tcW w:type="dxa" w:w="1440"/>
          </w:tcPr>
          <w:p>
            <w:r>
              <w:rPr>
                <w:rFonts w:ascii="Calibri" w:hAnsi="Calibri"/>
                <w:b/>
                <w:color w:val="30A46C"/>
                <w:sz w:val="22"/>
              </w:rPr>
              <w:t>+17.2%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Net Sales</w:t>
            </w:r>
          </w:p>
        </w:tc>
        <w:tc>
          <w:tcPr>
            <w:tcW w:type="dxa" w:w="1440"/>
          </w:tcPr>
          <w:p>
            <w:r>
              <w:rPr>
                <w:rFonts w:ascii="Calibri" w:hAnsi="Calibri"/>
                <w:sz w:val="22"/>
              </w:rPr>
              <w:t>$3.745B</w:t>
            </w:r>
          </w:p>
        </w:tc>
        <w:tc>
          <w:tcPr>
            <w:tcW w:type="dxa" w:w="1440"/>
          </w:tcPr>
          <w:p>
            <w:r>
              <w:rPr>
                <w:rFonts w:ascii="Calibri" w:hAnsi="Calibri"/>
                <w:sz w:val="22"/>
              </w:rPr>
              <w:t>$3.671B</w:t>
            </w:r>
          </w:p>
        </w:tc>
        <w:tc>
          <w:tcPr>
            <w:tcW w:type="dxa" w:w="1440"/>
          </w:tcPr>
          <w:p>
            <w:r>
              <w:rPr>
                <w:rFonts w:ascii="Calibri" w:hAnsi="Calibri"/>
                <w:b/>
                <w:color w:val="30A46C"/>
                <w:sz w:val="22"/>
              </w:rPr>
              <w:t>+2.0%</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$1.49</w:t>
            </w:r>
          </w:p>
        </w:tc>
        <w:tc>
          <w:tcPr>
            <w:tcW w:type="dxa" w:w="1440"/>
          </w:tcPr>
          <w:p>
            <w:r>
              <w:rPr>
                <w:rFonts w:ascii="Calibri" w:hAnsi="Calibri"/>
                <w:sz w:val="22"/>
              </w:rPr>
              <w:t>$1.27</w:t>
            </w:r>
          </w:p>
        </w:tc>
        <w:tc>
          <w:tcPr>
            <w:tcW w:type="dxa" w:w="1440"/>
          </w:tcPr>
          <w:p>
            <w:r>
              <w:rPr>
                <w:rFonts w:ascii="Calibri" w:hAnsi="Calibri"/>
                <w:b/>
                <w:color w:val="30A46C"/>
                <w:sz w:val="22"/>
              </w:rPr>
              <w:t>+17.3%</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Net Sales</w:t>
            </w:r>
          </w:p>
        </w:tc>
        <w:tc>
          <w:tcPr>
            <w:tcW w:type="dxa" w:w="1440"/>
          </w:tcPr>
          <w:p>
            <w:r>
              <w:rPr>
                <w:rFonts w:ascii="Calibri" w:hAnsi="Calibri"/>
                <w:sz w:val="22"/>
              </w:rPr>
              <w:t>$3.721B</w:t>
            </w:r>
          </w:p>
        </w:tc>
        <w:tc>
          <w:tcPr>
            <w:tcW w:type="dxa" w:w="1440"/>
          </w:tcPr>
          <w:p>
            <w:r>
              <w:rPr>
                <w:rFonts w:ascii="Calibri" w:hAnsi="Calibri"/>
                <w:sz w:val="22"/>
              </w:rPr>
              <w:t>$3.583B</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$1.22</w:t>
            </w:r>
          </w:p>
        </w:tc>
        <w:tc>
          <w:tcPr>
            <w:tcW w:type="dxa" w:w="1440"/>
          </w:tcPr>
          <w:p>
            <w:r>
              <w:rPr>
                <w:rFonts w:ascii="Calibri" w:hAnsi="Calibri"/>
                <w:sz w:val="22"/>
              </w:rPr>
              <w:t>$1.06</w:t>
            </w:r>
          </w:p>
        </w:tc>
        <w:tc>
          <w:tcPr>
            <w:tcW w:type="dxa" w:w="1440"/>
          </w:tcPr>
          <w:p>
            <w:r>
              <w:rPr>
                <w:rFonts w:ascii="Calibri" w:hAnsi="Calibri"/>
                <w:b/>
                <w:color w:val="30A46C"/>
                <w:sz w:val="22"/>
              </w:rPr>
              <w:t>+15.1%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Net Sales</w:t>
            </w:r>
          </w:p>
        </w:tc>
        <w:tc>
          <w:tcPr>
            <w:tcW w:type="dxa" w:w="1440"/>
          </w:tcPr>
          <w:p>
            <w:r>
              <w:rPr>
                <w:rFonts w:ascii="Calibri" w:hAnsi="Calibri"/>
                <w:sz w:val="22"/>
              </w:rPr>
              <w:t>$3.751B</w:t>
            </w:r>
          </w:p>
        </w:tc>
        <w:tc>
          <w:tcPr>
            <w:tcW w:type="dxa" w:w="1440"/>
          </w:tcPr>
          <w:p>
            <w:r>
              <w:rPr>
                <w:rFonts w:ascii="Calibri" w:hAnsi="Calibri"/>
                <w:sz w:val="22"/>
              </w:rPr>
              <w:t>$3.801B</w:t>
            </w:r>
          </w:p>
        </w:tc>
        <w:tc>
          <w:tcPr>
            <w:tcW w:type="dxa" w:w="1440"/>
          </w:tcPr>
          <w:p>
            <w:r>
              <w:rPr>
                <w:rFonts w:ascii="Calibri" w:hAnsi="Calibri"/>
                <w:b/>
                <w:color w:val="E5484D"/>
                <w:sz w:val="22"/>
              </w:rPr>
              <w:t>-1.3%</w:t>
            </w:r>
          </w:p>
        </w:tc>
        <w:tc>
          <w:tcPr>
            <w:tcW w:type="dxa" w:w="1440"/>
          </w:tcPr>
          <w:p>
            <w:r>
              <w:rPr>
                <w:rFonts w:ascii="Calibri" w:hAnsi="Calibri"/>
                <w:sz w:val="22"/>
              </w:rPr>
              <w:t>MISS</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$1.09</w:t>
            </w:r>
          </w:p>
        </w:tc>
        <w:tc>
          <w:tcPr>
            <w:tcW w:type="dxa" w:w="1440"/>
          </w:tcPr>
          <w:p>
            <w:r>
              <w:rPr>
                <w:rFonts w:ascii="Calibri" w:hAnsi="Calibri"/>
                <w:sz w:val="22"/>
              </w:rPr>
              <w:t>$0.83</w:t>
            </w:r>
          </w:p>
        </w:tc>
        <w:tc>
          <w:tcPr>
            <w:tcW w:type="dxa" w:w="1440"/>
          </w:tcPr>
          <w:p>
            <w:r>
              <w:rPr>
                <w:rFonts w:ascii="Calibri" w:hAnsi="Calibri"/>
                <w:b/>
                <w:color w:val="30A46C"/>
                <w:sz w:val="22"/>
              </w:rPr>
              <w:t>+31.3%</w:t>
            </w:r>
          </w:p>
        </w:tc>
        <w:tc>
          <w:tcPr>
            <w:tcW w:type="dxa" w:w="1440"/>
          </w:tcPr>
          <w:p>
            <w:r>
              <w:rPr>
                <w:rFonts w:ascii="Calibri" w:hAnsi="Calibri"/>
                <w:sz w:val="22"/>
              </w:rPr>
              <w:t>BEAT</w:t>
            </w:r>
          </w:p>
        </w:tc>
      </w:tr>
      <w:tr>
        <w:tc>
          <w:tcPr>
            <w:tcW w:type="dxa" w:w="1440"/>
          </w:tcPr>
          <w:p>
            <w:r>
              <w:rPr>
                <w:rFonts w:ascii="Calibri" w:hAnsi="Calibri"/>
                <w:sz w:val="22"/>
              </w:rPr>
              <w:t>Q2 2024</w:t>
            </w:r>
          </w:p>
        </w:tc>
        <w:tc>
          <w:tcPr>
            <w:tcW w:type="dxa" w:w="1440"/>
          </w:tcPr>
          <w:p>
            <w:r>
              <w:rPr>
                <w:rFonts w:ascii="Calibri" w:hAnsi="Calibri"/>
                <w:sz w:val="22"/>
              </w:rPr>
              <w:t>Net Sales</w:t>
            </w:r>
          </w:p>
        </w:tc>
        <w:tc>
          <w:tcPr>
            <w:tcW w:type="dxa" w:w="1440"/>
          </w:tcPr>
          <w:p>
            <w:r>
              <w:rPr>
                <w:rFonts w:ascii="Calibri" w:hAnsi="Calibri"/>
                <w:sz w:val="22"/>
              </w:rPr>
              <w:t>$4.024B</w:t>
            </w:r>
          </w:p>
        </w:tc>
        <w:tc>
          <w:tcPr>
            <w:tcW w:type="dxa" w:w="1440"/>
          </w:tcPr>
          <w:p>
            <w:r>
              <w:rPr>
                <w:rFonts w:ascii="Calibri" w:hAnsi="Calibri"/>
                <w:sz w:val="22"/>
              </w:rPr>
              <w:t>$4.016B</w:t>
            </w:r>
          </w:p>
        </w:tc>
        <w:tc>
          <w:tcPr>
            <w:tcW w:type="dxa" w:w="1440"/>
          </w:tcPr>
          <w:p>
            <w:r>
              <w:rPr>
                <w:rFonts w:ascii="Calibri" w:hAnsi="Calibri"/>
                <w:sz w:val="22"/>
              </w:rPr>
              <w:t>+0.2%</w:t>
            </w:r>
          </w:p>
        </w:tc>
        <w:tc>
          <w:tcPr>
            <w:tcW w:type="dxa" w:w="1440"/>
          </w:tcPr>
          <w:p>
            <w:r>
              <w:rPr>
                <w:rFonts w:ascii="Calibri" w:hAnsi="Calibri"/>
                <w:sz w:val="22"/>
              </w:rPr>
              <w:t>IN LINE</w:t>
            </w:r>
          </w:p>
        </w:tc>
      </w:tr>
    </w:tbl>
    <w:p>
      <w:r>
        <w:rPr>
          <w:rFonts w:ascii="Calibri" w:hAnsi="Calibri"/>
          <w:b/>
          <w:color w:val="525866"/>
          <w:sz w:val="22"/>
        </w:rPr>
        <w:t xml:space="preserve">Pattern: </w:t>
      </w:r>
      <w:r>
        <w:rPr>
          <w:rFonts w:ascii="Calibri" w:hAnsi="Calibri"/>
          <w:i/>
          <w:color w:val="525866"/>
          <w:sz w:val="22"/>
        </w:rPr>
        <w:t>SWK has beaten adjusted EPS consensus in all 8 of the last 8 quarters, with an average surprise of ~+27% — a strong track record that has reset the bar higher; revenue beats are less consistent (4 beats, 4 misses/in-line), reflecting ongoing volume headwinds in the retail channel.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w:t>
      </w:r>
      <w:r>
        <w:rPr>
          <w:rFonts w:ascii="Calibri" w:hAnsi="Calibri"/>
          <w:b/>
          <w:color w:val="525866"/>
          <w:sz w:val="22"/>
        </w:rPr>
        <w:t>reaffirmed, not raised</w:t>
      </w:r>
      <w:r>
        <w:rPr>
          <w:rFonts w:ascii="Calibri" w:hAnsi="Calibri"/>
          <w:color w:val="525866"/>
          <w:sz w:val="22"/>
        </w:rPr>
        <w:t>, since the Q1 print — management held full-year adjusted EPS at $4.90–$5.70 and organic growth at low single digits despite removing CAM's Q2 contribution (offset by lower interest expense). The June 9 Wells Fargo conference added color on the tariff/inflation offset dynamic and the gross margin bridge, but introduced no numerical changes.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~$3.9B</w:t>
            </w:r>
          </w:p>
        </w:tc>
        <w:tc>
          <w:tcPr>
            <w:tcW w:type="dxa" w:w="1728"/>
          </w:tcPr>
          <w:p>
            <w:r>
              <w:rPr>
                <w:rFonts w:ascii="Calibri" w:hAnsi="Calibri"/>
                <w:sz w:val="22"/>
              </w:rPr>
              <w:t>—</w:t>
            </w:r>
          </w:p>
        </w:tc>
        <w:tc>
          <w:tcPr>
            <w:tcW w:type="dxa" w:w="1728"/>
          </w:tcPr>
          <w:p>
            <w:r>
              <w:rPr>
                <w:rFonts w:ascii="Calibri" w:hAnsi="Calibri"/>
                <w:sz w:val="22"/>
              </w:rPr>
              <w:t>$3.962B</w:t>
            </w:r>
          </w:p>
        </w:tc>
        <w:tc>
          <w:tcPr>
            <w:tcW w:type="dxa" w:w="1728"/>
          </w:tcPr>
          <w:p>
            <w:r>
              <w:rPr>
                <w:rFonts w:ascii="Calibri" w:hAnsi="Calibri"/>
                <w:sz w:val="22"/>
              </w:rPr>
              <w:t>Unchanged; consensus +1.6% above guidance midpoint</w:t>
            </w:r>
          </w:p>
        </w:tc>
      </w:tr>
      <w:tr>
        <w:tc>
          <w:tcPr>
            <w:tcW w:type="dxa" w:w="1728"/>
          </w:tcPr>
          <w:p>
            <w:r>
              <w:rPr>
                <w:rFonts w:ascii="Calibri" w:hAnsi="Calibri"/>
                <w:sz w:val="22"/>
              </w:rPr>
              <w:t>Q2 2026 Adj. EPS</w:t>
            </w:r>
          </w:p>
        </w:tc>
        <w:tc>
          <w:tcPr>
            <w:tcW w:type="dxa" w:w="1728"/>
          </w:tcPr>
          <w:p>
            <w:r>
              <w:rPr>
                <w:rFonts w:ascii="Calibri" w:hAnsi="Calibri"/>
                <w:sz w:val="22"/>
              </w:rPr>
              <w:t>$1.15–$1.25</w:t>
            </w:r>
          </w:p>
        </w:tc>
        <w:tc>
          <w:tcPr>
            <w:tcW w:type="dxa" w:w="1728"/>
          </w:tcPr>
          <w:p>
            <w:r>
              <w:rPr>
                <w:rFonts w:ascii="Calibri" w:hAnsi="Calibri"/>
                <w:sz w:val="22"/>
              </w:rPr>
              <w:t>—</w:t>
            </w:r>
          </w:p>
        </w:tc>
        <w:tc>
          <w:tcPr>
            <w:tcW w:type="dxa" w:w="1728"/>
          </w:tcPr>
          <w:p>
            <w:r>
              <w:rPr>
                <w:rFonts w:ascii="Calibri" w:hAnsi="Calibri"/>
                <w:sz w:val="22"/>
              </w:rPr>
              <w:t>$1.21</w:t>
            </w:r>
          </w:p>
        </w:tc>
        <w:tc>
          <w:tcPr>
            <w:tcW w:type="dxa" w:w="1728"/>
          </w:tcPr>
          <w:p>
            <w:r>
              <w:rPr>
                <w:rFonts w:ascii="Calibri" w:hAnsi="Calibri"/>
                <w:sz w:val="22"/>
              </w:rPr>
              <w:t>Unchanged; consensus at midpoint</w:t>
            </w:r>
          </w:p>
        </w:tc>
      </w:tr>
      <w:tr>
        <w:tc>
          <w:tcPr>
            <w:tcW w:type="dxa" w:w="1728"/>
          </w:tcPr>
          <w:p>
            <w:r>
              <w:rPr>
                <w:rFonts w:ascii="Calibri" w:hAnsi="Calibri"/>
                <w:sz w:val="22"/>
              </w:rPr>
              <w:t>Q2 2026 Adj. Gross Margin</w:t>
            </w:r>
          </w:p>
        </w:tc>
        <w:tc>
          <w:tcPr>
            <w:tcW w:type="dxa" w:w="1728"/>
          </w:tcPr>
          <w:p>
            <w:r>
              <w:rPr>
                <w:rFonts w:ascii="Calibri" w:hAnsi="Calibri"/>
                <w:sz w:val="22"/>
              </w:rPr>
              <w:t>~300 bps YoY improvement</w:t>
            </w:r>
          </w:p>
        </w:tc>
        <w:tc>
          <w:tcPr>
            <w:tcW w:type="dxa" w:w="1728"/>
          </w:tcPr>
          <w:p>
            <w:r>
              <w:rPr>
                <w:rFonts w:ascii="Calibri" w:hAnsi="Calibri"/>
                <w:sz w:val="22"/>
              </w:rPr>
              <w:t>—</w:t>
            </w:r>
          </w:p>
        </w:tc>
        <w:tc>
          <w:tcPr>
            <w:tcW w:type="dxa" w:w="1728"/>
          </w:tcPr>
          <w:p>
            <w:r>
              <w:rPr>
                <w:rFonts w:ascii="Calibri" w:hAnsi="Calibri"/>
                <w:sz w:val="22"/>
              </w:rPr>
              <w:t>~30.6% (vs. 27.5% in Q2 2025)</w:t>
            </w:r>
          </w:p>
        </w:tc>
        <w:tc>
          <w:tcPr>
            <w:tcW w:type="dxa" w:w="1728"/>
          </w:tcPr>
          <w:p>
            <w:r>
              <w:rPr>
                <w:rFonts w:ascii="Calibri" w:hAnsi="Calibri"/>
                <w:sz w:val="22"/>
              </w:rPr>
              <w:t>Unchanged; Wells Fargo conf. (Jun 9) reiterated bridge: 40% productivity, 40% fixed cost, 20% tariff mitigation</w:t>
            </w:r>
          </w:p>
        </w:tc>
      </w:tr>
      <w:tr>
        <w:tc>
          <w:tcPr>
            <w:tcW w:type="dxa" w:w="1728"/>
          </w:tcPr>
          <w:p>
            <w:r>
              <w:rPr>
                <w:rFonts w:ascii="Calibri" w:hAnsi="Calibri"/>
                <w:sz w:val="22"/>
              </w:rPr>
              <w:t>FY 2026 Adj. EPS</w:t>
            </w:r>
          </w:p>
        </w:tc>
        <w:tc>
          <w:tcPr>
            <w:tcW w:type="dxa" w:w="1728"/>
          </w:tcPr>
          <w:p>
            <w:r>
              <w:rPr>
                <w:rFonts w:ascii="Calibri" w:hAnsi="Calibri"/>
                <w:sz w:val="22"/>
              </w:rPr>
              <w:t>$4.90–$5.70 (mid: $5.30)</w:t>
            </w:r>
          </w:p>
        </w:tc>
        <w:tc>
          <w:tcPr>
            <w:tcW w:type="dxa" w:w="1728"/>
          </w:tcPr>
          <w:p>
            <w:r>
              <w:rPr>
                <w:rFonts w:ascii="Calibri" w:hAnsi="Calibri"/>
                <w:sz w:val="22"/>
              </w:rPr>
              <w:t>—</w:t>
            </w:r>
          </w:p>
        </w:tc>
        <w:tc>
          <w:tcPr>
            <w:tcW w:type="dxa" w:w="1728"/>
          </w:tcPr>
          <w:p>
            <w:r>
              <w:rPr>
                <w:rFonts w:ascii="Calibri" w:hAnsi="Calibri"/>
                <w:sz w:val="22"/>
              </w:rPr>
              <w:t>$5.37</w:t>
            </w:r>
          </w:p>
        </w:tc>
        <w:tc>
          <w:tcPr>
            <w:tcW w:type="dxa" w:w="1728"/>
          </w:tcPr>
          <w:p>
            <w:r>
              <w:rPr>
                <w:rFonts w:ascii="Calibri" w:hAnsi="Calibri"/>
                <w:sz w:val="22"/>
              </w:rPr>
              <w:t>Unchanged; consensus above midpoint, reflecting Street's view that execution will track toward high end</w:t>
            </w:r>
          </w:p>
        </w:tc>
      </w:tr>
      <w:tr>
        <w:tc>
          <w:tcPr>
            <w:tcW w:type="dxa" w:w="1728"/>
          </w:tcPr>
          <w:p>
            <w:r>
              <w:rPr>
                <w:rFonts w:ascii="Calibri" w:hAnsi="Calibri"/>
                <w:sz w:val="22"/>
              </w:rPr>
              <w:t>FY 2026 Total Revenue</w:t>
            </w:r>
          </w:p>
        </w:tc>
        <w:tc>
          <w:tcPr>
            <w:tcW w:type="dxa" w:w="1728"/>
          </w:tcPr>
          <w:p>
            <w:r>
              <w:rPr>
                <w:rFonts w:ascii="Calibri" w:hAnsi="Calibri"/>
                <w:sz w:val="22"/>
              </w:rPr>
              <w:t>~Flat YoY (vs. prior: slight growth); organic +low single digits</w:t>
            </w:r>
          </w:p>
        </w:tc>
        <w:tc>
          <w:tcPr>
            <w:tcW w:type="dxa" w:w="1728"/>
          </w:tcPr>
          <w:p>
            <w:r>
              <w:rPr>
                <w:rFonts w:ascii="Calibri" w:hAnsi="Calibri"/>
                <w:sz w:val="22"/>
              </w:rPr>
              <w:t>—</w:t>
            </w:r>
          </w:p>
        </w:tc>
        <w:tc>
          <w:tcPr>
            <w:tcW w:type="dxa" w:w="1728"/>
          </w:tcPr>
          <w:p>
            <w:r>
              <w:rPr>
                <w:rFonts w:ascii="Calibri" w:hAnsi="Calibri"/>
                <w:sz w:val="22"/>
              </w:rPr>
              <w:t>$15.15B</w:t>
            </w:r>
          </w:p>
        </w:tc>
        <w:tc>
          <w:tcPr>
            <w:tcW w:type="dxa" w:w="1728"/>
          </w:tcPr>
          <w:p>
            <w:r>
              <w:rPr>
                <w:rFonts w:ascii="Calibri" w:hAnsi="Calibri"/>
                <w:sz w:val="22"/>
              </w:rPr>
              <w:t>Slightly lowered at Q1 due to CAM removal from Q2; organic growth target unchanged</w:t>
            </w:r>
          </w:p>
        </w:tc>
      </w:tr>
      <w:tr>
        <w:tc>
          <w:tcPr>
            <w:tcW w:type="dxa" w:w="1728"/>
          </w:tcPr>
          <w:p>
            <w:r>
              <w:rPr>
                <w:rFonts w:ascii="Calibri" w:hAnsi="Calibri"/>
                <w:sz w:val="22"/>
              </w:rPr>
              <w:t>FY 2026 Adj. Gross Margin</w:t>
            </w:r>
          </w:p>
        </w:tc>
        <w:tc>
          <w:tcPr>
            <w:tcW w:type="dxa" w:w="1728"/>
          </w:tcPr>
          <w:p>
            <w:r>
              <w:rPr>
                <w:rFonts w:ascii="Calibri" w:hAnsi="Calibri"/>
                <w:sz w:val="22"/>
              </w:rPr>
              <w:t>+150 bps YoY; exit rate ~34% by Q4 2026</w:t>
            </w:r>
          </w:p>
        </w:tc>
        <w:tc>
          <w:tcPr>
            <w:tcW w:type="dxa" w:w="1728"/>
          </w:tcPr>
          <w:p>
            <w:r>
              <w:rPr>
                <w:rFonts w:ascii="Calibri" w:hAnsi="Calibri"/>
                <w:sz w:val="22"/>
              </w:rPr>
              <w:t>—</w:t>
            </w:r>
          </w:p>
        </w:tc>
        <w:tc>
          <w:tcPr>
            <w:tcW w:type="dxa" w:w="1728"/>
          </w:tcPr>
          <w:p>
            <w:r>
              <w:rPr>
                <w:rFonts w:ascii="Calibri" w:hAnsi="Calibri"/>
                <w:sz w:val="22"/>
              </w:rPr>
              <w:t>32.2% FY avg.</w:t>
            </w:r>
          </w:p>
        </w:tc>
        <w:tc>
          <w:tcPr>
            <w:tcW w:type="dxa" w:w="1728"/>
          </w:tcPr>
          <w:p>
            <w:r>
              <w:rPr>
                <w:rFonts w:ascii="Calibri" w:hAnsi="Calibri"/>
                <w:sz w:val="22"/>
              </w:rPr>
              <w:t>Unchanged; Jun 9 conf. reiterated 35%+ target for FY 2027 full year</w:t>
            </w:r>
          </w:p>
        </w:tc>
      </w:tr>
      <w:tr>
        <w:tc>
          <w:tcPr>
            <w:tcW w:type="dxa" w:w="1728"/>
          </w:tcPr>
          <w:p>
            <w:r>
              <w:rPr>
                <w:rFonts w:ascii="Calibri" w:hAnsi="Calibri"/>
                <w:sz w:val="22"/>
              </w:rPr>
              <w:t>FY 2026 Free Cash Flow</w:t>
            </w:r>
          </w:p>
        </w:tc>
        <w:tc>
          <w:tcPr>
            <w:tcW w:type="dxa" w:w="1728"/>
          </w:tcPr>
          <w:p>
            <w:r>
              <w:rPr>
                <w:rFonts w:ascii="Calibri" w:hAnsi="Calibri"/>
                <w:sz w:val="22"/>
              </w:rPr>
              <w:t>$500–$700M (incl. CAM taxes); $700–$900M excl.</w:t>
            </w:r>
          </w:p>
        </w:tc>
        <w:tc>
          <w:tcPr>
            <w:tcW w:type="dxa" w:w="1728"/>
          </w:tcPr>
          <w:p>
            <w:r>
              <w:rPr>
                <w:rFonts w:ascii="Calibri" w:hAnsi="Calibri"/>
                <w:sz w:val="22"/>
              </w:rPr>
              <w:t>—</w:t>
            </w:r>
          </w:p>
        </w:tc>
        <w:tc>
          <w:tcPr>
            <w:tcW w:type="dxa" w:w="1728"/>
          </w:tcPr>
          <w:p>
            <w:r>
              <w:rPr>
                <w:rFonts w:ascii="Calibri" w:hAnsi="Calibri"/>
                <w:sz w:val="22"/>
              </w:rPr>
              <w:t>$729M</w:t>
            </w:r>
          </w:p>
        </w:tc>
        <w:tc>
          <w:tcPr>
            <w:tcW w:type="dxa" w:w="1728"/>
          </w:tcPr>
          <w:p>
            <w:r>
              <w:rPr>
                <w:rFonts w:ascii="Calibri" w:hAnsi="Calibri"/>
                <w:sz w:val="22"/>
              </w:rPr>
              <w:t>Unchanged; consensus tracking toward ex-CAM-tax range</w:t>
            </w:r>
          </w:p>
        </w:tc>
      </w:tr>
      <w:tr>
        <w:tc>
          <w:tcPr>
            <w:tcW w:type="dxa" w:w="1728"/>
          </w:tcPr>
          <w:p>
            <w:r>
              <w:rPr>
                <w:rFonts w:ascii="Calibri" w:hAnsi="Calibri"/>
                <w:sz w:val="22"/>
              </w:rPr>
              <w:t>China Sourcing (% of U.S. supply)</w:t>
            </w:r>
          </w:p>
        </w:tc>
        <w:tc>
          <w:tcPr>
            <w:tcW w:type="dxa" w:w="1728"/>
          </w:tcPr>
          <w:p>
            <w:r>
              <w:rPr>
                <w:rFonts w:ascii="Calibri" w:hAnsi="Calibri"/>
                <w:sz w:val="22"/>
              </w:rPr>
              <w:t>&lt;5% by end of 2026 (from ~15% in 2024)</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Jun 9 conf.: on pace; USMCA qualification targeting 75–85% by year-end (from ~30% in Q1 2025)</w:t>
            </w:r>
          </w:p>
        </w:tc>
      </w:tr>
      <w:tr>
        <w:tc>
          <w:tcPr>
            <w:tcW w:type="dxa" w:w="1728"/>
          </w:tcPr>
          <w:p>
            <w:r>
              <w:rPr>
                <w:rFonts w:ascii="Calibri" w:hAnsi="Calibri"/>
                <w:sz w:val="22"/>
              </w:rPr>
              <w:t>Net Debt / Adj. EBITDA</w:t>
            </w:r>
          </w:p>
        </w:tc>
        <w:tc>
          <w:tcPr>
            <w:tcW w:type="dxa" w:w="1728"/>
          </w:tcPr>
          <w:p>
            <w:r>
              <w:rPr>
                <w:rFonts w:ascii="Calibri" w:hAnsi="Calibri"/>
                <w:sz w:val="22"/>
              </w:rPr>
              <w:t>~2.5x by year-end 2026</w:t>
            </w:r>
          </w:p>
        </w:tc>
        <w:tc>
          <w:tcPr>
            <w:tcW w:type="dxa" w:w="1728"/>
          </w:tcPr>
          <w:p>
            <w:r>
              <w:rPr>
                <w:rFonts w:ascii="Calibri" w:hAnsi="Calibri"/>
                <w:sz w:val="22"/>
              </w:rPr>
              <w:t>—</w:t>
            </w:r>
          </w:p>
        </w:tc>
        <w:tc>
          <w:tcPr>
            <w:tcW w:type="dxa" w:w="1728"/>
          </w:tcPr>
          <w:p>
            <w:r>
              <w:rPr>
                <w:rFonts w:ascii="Calibri" w:hAnsi="Calibri"/>
                <w:sz w:val="22"/>
              </w:rPr>
              <w:t>N/A (not in VA)</w:t>
            </w:r>
          </w:p>
        </w:tc>
        <w:tc>
          <w:tcPr>
            <w:tcW w:type="dxa" w:w="1728"/>
          </w:tcPr>
          <w:p>
            <w:r>
              <w:rPr>
                <w:rFonts w:ascii="Calibri" w:hAnsi="Calibri"/>
                <w:sz w:val="22"/>
              </w:rPr>
              <w:t>Unchanged; CAM proceeds (~$1.6B) applied to debt reduction; on track</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moved only +$0.01 and FY 2026 EPS moved -$0.02, confirming the Street is tracking guidance rather than building in incremental upside or downside. </w:t>
      </w:r>
      <w:r>
        <w:rPr>
          <w:rFonts w:ascii="Calibri" w:hAnsi="Calibri"/>
          <w:b/>
          <w:color w:val="525866"/>
          <w:sz w:val="22"/>
        </w:rPr>
        <w:t>The gap between consensus ($5.37) and guidance midpoint ($5.30) represents modest Street optimism that execution will trend toward the high end of the range.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(c. May 4,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$1.20</w:t>
            </w:r>
          </w:p>
        </w:tc>
        <w:tc>
          <w:tcPr>
            <w:tcW w:type="dxa" w:w="1080"/>
          </w:tcPr>
          <w:p>
            <w:r>
              <w:rPr>
                <w:rFonts w:ascii="Calibri" w:hAnsi="Calibri"/>
                <w:sz w:val="22"/>
              </w:rPr>
              <w:t>$1.21</w:t>
            </w:r>
          </w:p>
        </w:tc>
        <w:tc>
          <w:tcPr>
            <w:tcW w:type="dxa" w:w="1080"/>
          </w:tcPr>
          <w:p>
            <w:r>
              <w:rPr>
                <w:rFonts w:ascii="Calibri" w:hAnsi="Calibri"/>
                <w:sz w:val="22"/>
              </w:rPr>
              <w:t>+0.8%</w:t>
            </w:r>
          </w:p>
        </w:tc>
        <w:tc>
          <w:tcPr>
            <w:tcW w:type="dxa" w:w="1080"/>
          </w:tcPr>
          <w:p>
            <w:r>
              <w:rPr>
                <w:rFonts w:ascii="Calibri" w:hAnsi="Calibri"/>
                <w:sz w:val="22"/>
              </w:rPr>
              <w:t>$1.15–$1.25 (mid: $1.20)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w:t>
            </w:r>
          </w:p>
        </w:tc>
      </w:tr>
      <w:tr>
        <w:tc>
          <w:tcPr>
            <w:tcW w:type="dxa" w:w="1080"/>
          </w:tcPr>
          <w:p>
            <w:r>
              <w:rPr>
                <w:rFonts w:ascii="Calibri" w:hAnsi="Calibri"/>
                <w:sz w:val="22"/>
              </w:rPr>
              <w:t>Net Sales — Q2 2026</w:t>
            </w:r>
          </w:p>
        </w:tc>
        <w:tc>
          <w:tcPr>
            <w:tcW w:type="dxa" w:w="1080"/>
          </w:tcPr>
          <w:p>
            <w:r>
              <w:rPr>
                <w:rFonts w:ascii="Calibri" w:hAnsi="Calibri"/>
                <w:sz w:val="22"/>
              </w:rPr>
              <w:t>$3.963B</w:t>
            </w:r>
          </w:p>
        </w:tc>
        <w:tc>
          <w:tcPr>
            <w:tcW w:type="dxa" w:w="1080"/>
          </w:tcPr>
          <w:p>
            <w:r>
              <w:rPr>
                <w:rFonts w:ascii="Calibri" w:hAnsi="Calibri"/>
                <w:sz w:val="22"/>
              </w:rPr>
              <w:t>$3.962B</w:t>
            </w:r>
          </w:p>
        </w:tc>
        <w:tc>
          <w:tcPr>
            <w:tcW w:type="dxa" w:w="1080"/>
          </w:tcPr>
          <w:p>
            <w:r>
              <w:rPr>
                <w:rFonts w:ascii="Calibri" w:hAnsi="Calibri"/>
                <w:sz w:val="22"/>
              </w:rPr>
              <w:t>-0.0%</w:t>
            </w:r>
          </w:p>
        </w:tc>
        <w:tc>
          <w:tcPr>
            <w:tcW w:type="dxa" w:w="1080"/>
          </w:tcPr>
          <w:p>
            <w:r>
              <w:rPr>
                <w:rFonts w:ascii="Calibri" w:hAnsi="Calibri"/>
                <w:sz w:val="22"/>
              </w:rPr>
              <w:t>~$3.9B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guidance</w:t>
            </w:r>
          </w:p>
        </w:tc>
      </w:tr>
      <w:tr>
        <w:tc>
          <w:tcPr>
            <w:tcW w:type="dxa" w:w="1080"/>
          </w:tcPr>
          <w:p>
            <w:r>
              <w:rPr>
                <w:rFonts w:ascii="Calibri" w:hAnsi="Calibri"/>
                <w:sz w:val="22"/>
              </w:rPr>
              <w:t>Adj. Gross Margin — Q2 2026</w:t>
            </w:r>
          </w:p>
        </w:tc>
        <w:tc>
          <w:tcPr>
            <w:tcW w:type="dxa" w:w="1080"/>
          </w:tcPr>
          <w:p>
            <w:r>
              <w:rPr>
                <w:rFonts w:ascii="Calibri" w:hAnsi="Calibri"/>
                <w:sz w:val="22"/>
              </w:rPr>
              <w:t>30.5%</w:t>
            </w:r>
          </w:p>
        </w:tc>
        <w:tc>
          <w:tcPr>
            <w:tcW w:type="dxa" w:w="1080"/>
          </w:tcPr>
          <w:p>
            <w:r>
              <w:rPr>
                <w:rFonts w:ascii="Calibri" w:hAnsi="Calibri"/>
                <w:sz w:val="22"/>
              </w:rPr>
              <w:t>30.6%</w:t>
            </w:r>
          </w:p>
        </w:tc>
        <w:tc>
          <w:tcPr>
            <w:tcW w:type="dxa" w:w="1080"/>
          </w:tcPr>
          <w:p>
            <w:r>
              <w:rPr>
                <w:rFonts w:ascii="Calibri" w:hAnsi="Calibri"/>
                <w:sz w:val="22"/>
              </w:rPr>
              <w:t>+10 bps</w:t>
            </w:r>
          </w:p>
        </w:tc>
        <w:tc>
          <w:tcPr>
            <w:tcW w:type="dxa" w:w="1080"/>
          </w:tcPr>
          <w:p>
            <w:r>
              <w:rPr>
                <w:rFonts w:ascii="Calibri" w:hAnsi="Calibri"/>
                <w:sz w:val="22"/>
              </w:rPr>
              <w:t>~300 bps YoY improvement (implies ~30.5%)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EPS — FY 2026</w:t>
            </w:r>
          </w:p>
        </w:tc>
        <w:tc>
          <w:tcPr>
            <w:tcW w:type="dxa" w:w="1080"/>
          </w:tcPr>
          <w:p>
            <w:r>
              <w:rPr>
                <w:rFonts w:ascii="Calibri" w:hAnsi="Calibri"/>
                <w:sz w:val="22"/>
              </w:rPr>
              <w:t>$5.39</w:t>
            </w:r>
          </w:p>
        </w:tc>
        <w:tc>
          <w:tcPr>
            <w:tcW w:type="dxa" w:w="1080"/>
          </w:tcPr>
          <w:p>
            <w:r>
              <w:rPr>
                <w:rFonts w:ascii="Calibri" w:hAnsi="Calibri"/>
                <w:sz w:val="22"/>
              </w:rPr>
              <w:t>$5.37</w:t>
            </w:r>
          </w:p>
        </w:tc>
        <w:tc>
          <w:tcPr>
            <w:tcW w:type="dxa" w:w="1080"/>
          </w:tcPr>
          <w:p>
            <w:r>
              <w:rPr>
                <w:rFonts w:ascii="Calibri" w:hAnsi="Calibri"/>
                <w:sz w:val="22"/>
              </w:rPr>
              <w:t>-0.4%</w:t>
            </w:r>
          </w:p>
        </w:tc>
        <w:tc>
          <w:tcPr>
            <w:tcW w:type="dxa" w:w="1080"/>
          </w:tcPr>
          <w:p>
            <w:r>
              <w:rPr>
                <w:rFonts w:ascii="Calibri" w:hAnsi="Calibri"/>
                <w:sz w:val="22"/>
              </w:rPr>
              <w:t>$4.90–$5.70 (mid: $5.30)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above midpoint</w:t>
            </w:r>
          </w:p>
        </w:tc>
      </w:tr>
      <w:tr>
        <w:tc>
          <w:tcPr>
            <w:tcW w:type="dxa" w:w="1080"/>
          </w:tcPr>
          <w:p>
            <w:r>
              <w:rPr>
                <w:rFonts w:ascii="Calibri" w:hAnsi="Calibri"/>
                <w:sz w:val="22"/>
              </w:rPr>
              <w:t>Net Sales — FY 2026</w:t>
            </w:r>
          </w:p>
        </w:tc>
        <w:tc>
          <w:tcPr>
            <w:tcW w:type="dxa" w:w="1080"/>
          </w:tcPr>
          <w:p>
            <w:r>
              <w:rPr>
                <w:rFonts w:ascii="Calibri" w:hAnsi="Calibri"/>
                <w:sz w:val="22"/>
              </w:rPr>
              <w:t>$15.178B</w:t>
            </w:r>
          </w:p>
        </w:tc>
        <w:tc>
          <w:tcPr>
            <w:tcW w:type="dxa" w:w="1080"/>
          </w:tcPr>
          <w:p>
            <w:r>
              <w:rPr>
                <w:rFonts w:ascii="Calibri" w:hAnsi="Calibri"/>
                <w:sz w:val="22"/>
              </w:rPr>
              <w:t>$15.151B</w:t>
            </w:r>
          </w:p>
        </w:tc>
        <w:tc>
          <w:tcPr>
            <w:tcW w:type="dxa" w:w="1080"/>
          </w:tcPr>
          <w:p>
            <w:r>
              <w:rPr>
                <w:rFonts w:ascii="Calibri" w:hAnsi="Calibri"/>
                <w:sz w:val="22"/>
              </w:rPr>
              <w:t>-0.2%</w:t>
            </w:r>
          </w:p>
        </w:tc>
        <w:tc>
          <w:tcPr>
            <w:tcW w:type="dxa" w:w="1080"/>
          </w:tcPr>
          <w:p>
            <w:r>
              <w:rPr>
                <w:rFonts w:ascii="Calibri" w:hAnsi="Calibri"/>
                <w:sz w:val="22"/>
              </w:rPr>
              <w:t>~Flat YoY; organic +low single digits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Adj. Gross Margin — FY 2026</w:t>
            </w:r>
          </w:p>
        </w:tc>
        <w:tc>
          <w:tcPr>
            <w:tcW w:type="dxa" w:w="1080"/>
          </w:tcPr>
          <w:p>
            <w:r>
              <w:rPr>
                <w:rFonts w:ascii="Calibri" w:hAnsi="Calibri"/>
                <w:sz w:val="22"/>
              </w:rPr>
              <w:t>32.2%</w:t>
            </w:r>
          </w:p>
        </w:tc>
        <w:tc>
          <w:tcPr>
            <w:tcW w:type="dxa" w:w="1080"/>
          </w:tcPr>
          <w:p>
            <w:r>
              <w:rPr>
                <w:rFonts w:ascii="Calibri" w:hAnsi="Calibri"/>
                <w:sz w:val="22"/>
              </w:rPr>
              <w:t>32.2%</w:t>
            </w:r>
          </w:p>
        </w:tc>
        <w:tc>
          <w:tcPr>
            <w:tcW w:type="dxa" w:w="1080"/>
          </w:tcPr>
          <w:p>
            <w:r>
              <w:rPr>
                <w:rFonts w:ascii="Calibri" w:hAnsi="Calibri"/>
                <w:sz w:val="22"/>
              </w:rPr>
              <w:t>0.0%</w:t>
            </w:r>
          </w:p>
        </w:tc>
        <w:tc>
          <w:tcPr>
            <w:tcW w:type="dxa" w:w="1080"/>
          </w:tcPr>
          <w:p>
            <w:r>
              <w:rPr>
                <w:rFonts w:ascii="Calibri" w:hAnsi="Calibri"/>
                <w:sz w:val="22"/>
              </w:rPr>
              <w:t>+150 bps YoY; exit ~34% by Q4</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Free Cash Flow — FY 2026</w:t>
            </w:r>
          </w:p>
        </w:tc>
        <w:tc>
          <w:tcPr>
            <w:tcW w:type="dxa" w:w="1080"/>
          </w:tcPr>
          <w:p>
            <w:r>
              <w:rPr>
                <w:rFonts w:ascii="Calibri" w:hAnsi="Calibri"/>
                <w:sz w:val="22"/>
              </w:rPr>
              <w:t>$670M</w:t>
            </w:r>
          </w:p>
        </w:tc>
        <w:tc>
          <w:tcPr>
            <w:tcW w:type="dxa" w:w="1080"/>
          </w:tcPr>
          <w:p>
            <w:r>
              <w:rPr>
                <w:rFonts w:ascii="Calibri" w:hAnsi="Calibri"/>
                <w:sz w:val="22"/>
              </w:rPr>
              <w:t>$729M</w:t>
            </w:r>
          </w:p>
        </w:tc>
        <w:tc>
          <w:tcPr>
            <w:tcW w:type="dxa" w:w="1080"/>
          </w:tcPr>
          <w:p>
            <w:r>
              <w:rPr>
                <w:rFonts w:ascii="Calibri" w:hAnsi="Calibri"/>
                <w:sz w:val="22"/>
              </w:rPr>
              <w:t>+8.8%</w:t>
            </w:r>
          </w:p>
        </w:tc>
        <w:tc>
          <w:tcPr>
            <w:tcW w:type="dxa" w:w="1080"/>
          </w:tcPr>
          <w:p>
            <w:r>
              <w:rPr>
                <w:rFonts w:ascii="Calibri" w:hAnsi="Calibri"/>
                <w:sz w:val="22"/>
              </w:rPr>
              <w:t>$500–$700M (incl. CAM taxes)</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+4.1% above guidance midpoint</w:t>
            </w:r>
          </w:p>
        </w:tc>
      </w:tr>
    </w:tbl>
    <w:p>
      <w:r>
        <w:rPr>
          <w:rFonts w:ascii="Calibri" w:hAnsi="Calibri"/>
          <w:i/>
          <w:color w:val="525866"/>
          <w:sz w:val="22"/>
        </w:rPr>
        <w:t>Source: Visible Alpha Consensus and Actuals Data. Post-earnings baseline uses consensus as of May 4, 2026 (5 trading days after April 29 print). Estimate revisions are minimal across all KPIs, confirming the Street is anchored to management's guidance rather than building in incremental upside. The modest FCF revision (+8.8%) likely reflects updated working capital assumptions post-CAM close.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SWK has dramatically outperformed since the Q1 print — </w:t>
      </w:r>
      <w:r>
        <w:rPr>
          <w:rFonts w:ascii="Calibri" w:hAnsi="Calibri"/>
          <w:b/>
          <w:color w:val="525866"/>
          <w:sz w:val="22"/>
        </w:rPr>
        <w:t>+24.1% vs. XLI +7.4% and SPY +4.1%</w:t>
      </w:r>
      <w:r>
        <w:rPr>
          <w:rFonts w:ascii="Calibri" w:hAnsi="Calibri"/>
          <w:color w:val="525866"/>
          <w:sz w:val="22"/>
        </w:rPr>
        <w:t xml:space="preserve"> — driven by a combination of multiple re-rating (transformation credibility), the CAM divestiture closing, and the $500M buyback authorization. The stock's outperformance is almost entirely sentiment/multiple-driven rather than estimate-revision-driven, as EPS consensus moved only marginally.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SWK vs. XLI (Industrials ETF) vs. S&amp;P 500 — Indexed to 100 at April 29, 2026 (Q1 2026 Earnings Date). Source: Yahoo Finance.</w:t>
      </w:r>
    </w:p>
    <w:p>
      <w:pPr>
        <w:pStyle w:val="ListBullet"/>
        <w:ind w:left="360" w:hanging="360"/>
      </w:pPr>
      <w:r>
        <w:rPr>
          <w:rFonts w:ascii="Calibri" w:hAnsi="Calibri"/>
          <w:b/>
          <w:color w:val="525866"/>
          <w:sz w:val="22"/>
        </w:rPr>
        <w:t>SWK +24.1%</w:t>
      </w:r>
      <w:r>
        <w:rPr>
          <w:rFonts w:ascii="Calibri" w:hAnsi="Calibri"/>
          <w:color w:val="525866"/>
          <w:sz w:val="22"/>
        </w:rPr>
        <w:t xml:space="preserve"> since April 29, 2026 close ($75.89 → $94.19 as of July 28, 2026), vs. XLI +7.4% and SPY +4.1%. The stock hit a 52-week high of ~$94.19 on July 28.</w:t>
      </w:r>
    </w:p>
    <w:p>
      <w:pPr>
        <w:pStyle w:val="ListBullet"/>
        <w:ind w:left="360" w:hanging="360"/>
      </w:pPr>
      <w:r>
        <w:rPr>
          <w:rFonts w:ascii="Calibri" w:hAnsi="Calibri"/>
          <w:b/>
          <w:color w:val="525866"/>
          <w:sz w:val="22"/>
        </w:rPr>
        <w:t>Key inflection points:</w:t>
      </w:r>
      <w:r>
        <w:rPr>
          <w:rFonts w:ascii="Calibri" w:hAnsi="Calibri"/>
          <w:color w:val="525866"/>
          <w:sz w:val="22"/>
        </w:rPr>
        <w:t xml:space="preserve"> (1) May 6–8: initial post-earnings recovery as investors digested the large Q1 EPS beat; (2) June 9: Wells Fargo Industrials Conference — CEO Nelson's confident tone on margin trajectory and USMCA progress drove a +2% day; (3) June 24: announcement of $3B new/amended credit facilities, signaling balance sheet strength and financial flexibility, drove a +7% surge; (4) June 25: continued momentum to $92.31 on buyback execution optimism.</w:t>
      </w:r>
    </w:p>
    <w:p>
      <w:pPr>
        <w:pStyle w:val="ListBullet"/>
        <w:ind w:left="360" w:hanging="360"/>
      </w:pPr>
      <w:r>
        <w:rPr>
          <w:rFonts w:ascii="Calibri" w:hAnsi="Calibri"/>
          <w:b/>
          <w:color w:val="525866"/>
          <w:sz w:val="22"/>
        </w:rPr>
        <w:t>Multiple re-rating:</w:t>
      </w:r>
      <w:r>
        <w:rPr>
          <w:rFonts w:ascii="Calibri" w:hAnsi="Calibri"/>
          <w:color w:val="525866"/>
          <w:sz w:val="22"/>
        </w:rPr>
        <w:t xml:space="preserve"> At ~$94, SWK trades at approximately 17.5x NTM consensus EPS of ~$5.37, up from ~12–13x at the 52-week low. The re-rating reflects growing conviction in the 35%+ gross margin path and balance sheet normalization, but leaves less room for error heading into Q2.</w:t>
      </w:r>
    </w:p>
    <w:p>
      <w:pPr>
        <w:pStyle w:val="ListBullet"/>
        <w:ind w:left="360" w:hanging="360"/>
      </w:pPr>
      <w:r>
        <w:rPr>
          <w:rFonts w:ascii="Calibri" w:hAnsi="Calibri"/>
          <w:b/>
          <w:color w:val="525866"/>
          <w:sz w:val="22"/>
        </w:rPr>
        <w:t>Analyst sentiment remains mixed:</w:t>
      </w:r>
      <w:r>
        <w:rPr>
          <w:rFonts w:ascii="Calibri" w:hAnsi="Calibri"/>
          <w:color w:val="525866"/>
          <w:sz w:val="22"/>
        </w:rPr>
        <w:t xml:space="preserve"> Average rating of Hold with consensus price target of ~$88.44 — now below the current share price. Key ratings: Barclays Overweight (PT $95), JPMorgan Underweight (PT $75), Wells Fargo Equal Weight (PT $90, raised from $80 on June 18), Morgan Stanley Equal Weight (PT $84). The stock has run through most sell-side price targets, suggesting the market is pricing in execution on the high end of guidance.</w:t>
      </w:r>
    </w:p>
    <w:p>
      <w:r>
        <w:br w:type="page"/>
      </w:r>
    </w:p>
    <w:p>
      <w:pPr>
        <w:pStyle w:val="Heading2"/>
      </w:pPr>
      <w:r>
        <w:rPr>
          <w:rFonts w:ascii="Calibri" w:hAnsi="Calibri"/>
          <w:b/>
          <w:color w:val="3B4259"/>
          <w:sz w:val="28"/>
        </w:rPr>
        <w:t>6. Peer Commentaries — Read-Through for SWK Q2 2026</w:t>
      </w:r>
    </w:p>
    <w:p>
      <w:r>
        <w:rPr>
          <w:rFonts w:ascii="Calibri" w:hAnsi="Calibri"/>
          <w:b/>
          <w:color w:val="525866"/>
          <w:sz w:val="22"/>
        </w:rPr>
        <w:t xml:space="preserve">Key Takeaway: </w:t>
      </w:r>
      <w:r>
        <w:rPr>
          <w:rFonts w:ascii="Calibri" w:hAnsi="Calibri"/>
          <w:color w:val="525866"/>
          <w:sz w:val="22"/>
        </w:rPr>
        <w:t xml:space="preserve">Peer commentary from Q2 2026 reporting season is </w:t>
      </w:r>
      <w:r>
        <w:rPr>
          <w:rFonts w:ascii="Calibri" w:hAnsi="Calibri"/>
          <w:b/>
          <w:color w:val="525866"/>
          <w:sz w:val="22"/>
        </w:rPr>
        <w:t>broadly constructive for SWK</w:t>
      </w:r>
      <w:r>
        <w:rPr>
          <w:rFonts w:ascii="Calibri" w:hAnsi="Calibri"/>
          <w:color w:val="525866"/>
          <w:sz w:val="22"/>
        </w:rPr>
        <w:t xml:space="preserve">: Toro (TTC) reported strong professional/outdoor demand with improving channel inventory, Snap-on (SNA) confirmed professional tools "green shoots" with technicians cash-rich but confidence-poor, and Kennametal (KMT) flagged industrial volume recovery. The common thread is that </w:t>
      </w:r>
      <w:r>
        <w:rPr>
          <w:rFonts w:ascii="Calibri" w:hAnsi="Calibri"/>
          <w:b/>
          <w:color w:val="525866"/>
          <w:sz w:val="22"/>
        </w:rPr>
        <w:t>professional end markets are holding up better than consumer/DIY</w:t>
      </w:r>
      <w:r>
        <w:rPr>
          <w:rFonts w:ascii="Calibri" w:hAnsi="Calibri"/>
          <w:color w:val="525866"/>
          <w:sz w:val="22"/>
        </w:rPr>
        <w:t>, which aligns with SWK's DEWALT-led commercial &amp; industrial outperformance narrative. Tariff/inflation offsets remain the key shared risk.</w:t>
      </w:r>
    </w:p>
    <w:p>
      <w:pPr>
        <w:pStyle w:val="Heading3"/>
      </w:pPr>
      <w:r>
        <w:rPr>
          <w:rFonts w:ascii="Calibri" w:hAnsi="Calibri"/>
          <w:b/>
          <w:color w:val="3B4259"/>
          <w:sz w:val="24"/>
        </w:rPr>
        <w:t>Toro Company (TTC) — Q2 FY2026 Earnings (Reported June 4, 2026)</w:t>
      </w:r>
    </w:p>
    <w:p>
      <w:r>
        <w:rPr>
          <w:rFonts w:ascii="Calibri" w:hAnsi="Calibri"/>
          <w:b/>
          <w:color w:val="525866"/>
          <w:sz w:val="22"/>
        </w:rPr>
        <w:t xml:space="preserve">Relevance: </w:t>
      </w:r>
      <w:r>
        <w:rPr>
          <w:rFonts w:ascii="Calibri" w:hAnsi="Calibri"/>
          <w:color w:val="525866"/>
          <w:sz w:val="22"/>
        </w:rPr>
        <w:t>TTC is SWK's closest outdoor/professional tools peer, competing directly in outdoor power equipment (mowers, underground construction). TTC's Q2 covers the same April–June 2026 calendar period as SWK's Q2.</w:t>
      </w:r>
    </w:p>
    <w:p>
      <w:pPr>
        <w:pStyle w:val="ListBullet"/>
        <w:ind w:left="360" w:hanging="360"/>
      </w:pPr>
      <w:r>
        <w:rPr>
          <w:rFonts w:ascii="Calibri" w:hAnsi="Calibri"/>
          <w:b/>
          <w:color w:val="525866"/>
          <w:sz w:val="22"/>
        </w:rPr>
        <w:t>Strong professional demand, improving channel inventory:</w:t>
      </w:r>
      <w:r>
        <w:rPr>
          <w:rFonts w:ascii="Calibri" w:hAnsi="Calibri"/>
          <w:color w:val="525866"/>
          <w:sz w:val="22"/>
        </w:rPr>
        <w:t xml:space="preserve"> TTC reported Q2 top-line growth of +8% and adjusted EPS of $1.60, exceeding expectations — the second consecutive quarter of double-digit adjusted earnings growth. Professional segment net sales grew +9% (6% organic), with underground construction up low double digits. This is a strong read-through for SWK's DEWALT commercial &amp; industrial channel, which delivered high single-digit organic growth in Q1 2026.</w:t>
      </w:r>
    </w:p>
    <w:p>
      <w:pPr>
        <w:pStyle w:val="ListBullet"/>
        <w:ind w:left="360" w:hanging="360"/>
      </w:pPr>
      <w:r>
        <w:rPr>
          <w:rFonts w:ascii="Calibri" w:hAnsi="Calibri"/>
          <w:b/>
          <w:color w:val="525866"/>
          <w:sz w:val="22"/>
        </w:rPr>
        <w:t>Outdoor channel inventory normalized:</w:t>
      </w:r>
      <w:r>
        <w:rPr>
          <w:rFonts w:ascii="Calibri" w:hAnsi="Calibri"/>
          <w:color w:val="525866"/>
          <w:sz w:val="22"/>
        </w:rPr>
        <w:t xml:space="preserve"> TTC noted field inventories are "in great shape" with landscape contractor and residential inventory "somewhat below desired levels" due to strong sell-through. This is a positive read-through for SWK's outdoor preseason execution — if channel inventory is lean, restocking demand could support SWK's outdoor revenue in Q2.</w:t>
      </w:r>
    </w:p>
    <w:p>
      <w:pPr>
        <w:pStyle w:val="ListBullet"/>
        <w:ind w:left="360" w:hanging="360"/>
      </w:pPr>
      <w:r>
        <w:rPr>
          <w:rFonts w:ascii="Calibri" w:hAnsi="Calibri"/>
          <w:b/>
          <w:color w:val="525866"/>
          <w:sz w:val="22"/>
        </w:rPr>
        <w:t>Residential/DIY remains soft but stabilizing:</w:t>
      </w:r>
      <w:r>
        <w:rPr>
          <w:rFonts w:ascii="Calibri" w:hAnsi="Calibri"/>
          <w:color w:val="525866"/>
          <w:sz w:val="22"/>
        </w:rPr>
        <w:t xml:space="preserve"> TTC's residential net sales grew only +4%, with management noting "a true homeowner... is probably buying down" and consumer confidence remaining challenging. This is consistent with SWK's view that the DIY market is "depressed" and that the pull-ahead of pandemic-era volume is "behind us." No incremental deterioration is a mild positive.</w:t>
      </w:r>
    </w:p>
    <w:p>
      <w:pPr>
        <w:pStyle w:val="ListBullet"/>
        <w:ind w:left="360" w:hanging="360"/>
      </w:pPr>
      <w:r>
        <w:rPr>
          <w:rFonts w:ascii="Calibri" w:hAnsi="Calibri"/>
          <w:b/>
          <w:color w:val="525866"/>
          <w:sz w:val="22"/>
        </w:rPr>
        <w:t>Tariff impact manageable but Q3 headwinds flagged:</w:t>
      </w:r>
      <w:r>
        <w:rPr>
          <w:rFonts w:ascii="Calibri" w:hAnsi="Calibri"/>
          <w:color w:val="525866"/>
          <w:sz w:val="22"/>
        </w:rPr>
        <w:t xml:space="preserve"> TTC's gross tariff estimate is $120M for the year, with a $20M refund expected, making the net impact "negligible." However, TTC explicitly warned that "pressures from inflation and tariffs will be more acute in Q3 as the mitigation actions we're taking will not be fully in place until Q4." This is a direct read-through risk for SWK — if tariff mitigation actions are back-half weighted, Q2 gross margin could face similar timing pressure.</w:t>
      </w:r>
    </w:p>
    <w:p>
      <w:pPr>
        <w:pStyle w:val="ListBullet"/>
        <w:ind w:left="360" w:hanging="360"/>
      </w:pPr>
      <w:r>
        <w:rPr>
          <w:rFonts w:ascii="Calibri" w:hAnsi="Calibri"/>
          <w:b/>
          <w:color w:val="525866"/>
          <w:sz w:val="22"/>
        </w:rPr>
        <w:t>Productivity program delivering:</w:t>
      </w:r>
      <w:r>
        <w:rPr>
          <w:rFonts w:ascii="Calibri" w:hAnsi="Calibri"/>
          <w:color w:val="525866"/>
          <w:sz w:val="22"/>
        </w:rPr>
        <w:t xml:space="preserve"> TTC's AMP program is on track to deliver $125M in run-rate savings by year-end, with adjusted operating margins of 14.4% (highest in 12 quarters). This validates the broader industrial productivity narrative that underpins SWK's own margin recovery thesis.</w:t>
      </w:r>
    </w:p>
    <w:p>
      <w:pPr>
        <w:pStyle w:val="Heading3"/>
      </w:pPr>
      <w:r>
        <w:rPr>
          <w:rFonts w:ascii="Calibri" w:hAnsi="Calibri"/>
          <w:b/>
          <w:color w:val="3B4259"/>
          <w:sz w:val="24"/>
        </w:rPr>
        <w:t>Snap-on (SNA) — Q2 2026 Earnings (Reported July 23, 2026)</w:t>
      </w:r>
    </w:p>
    <w:p>
      <w:r>
        <w:rPr>
          <w:rFonts w:ascii="Calibri" w:hAnsi="Calibri"/>
          <w:b/>
          <w:color w:val="525866"/>
          <w:sz w:val="22"/>
        </w:rPr>
        <w:t xml:space="preserve">Relevance: </w:t>
      </w:r>
      <w:r>
        <w:rPr>
          <w:rFonts w:ascii="Calibri" w:hAnsi="Calibri"/>
          <w:color w:val="525866"/>
          <w:sz w:val="22"/>
        </w:rPr>
        <w:t>SNA is the most direct professional tools peer, competing with SWK's DEWALT brand in the professional mechanic/technician segment. SNA's Q2 covers April–June 2026.</w:t>
      </w:r>
    </w:p>
    <w:p>
      <w:pPr>
        <w:pStyle w:val="ListBullet"/>
        <w:ind w:left="360" w:hanging="360"/>
      </w:pPr>
      <w:r>
        <w:rPr>
          <w:rFonts w:ascii="Calibri" w:hAnsi="Calibri"/>
          <w:b/>
          <w:color w:val="525866"/>
          <w:sz w:val="22"/>
        </w:rPr>
        <w:t>Professional tools: green shoots, but technicians remain confidence-poor:</w:t>
      </w:r>
      <w:r>
        <w:rPr>
          <w:rFonts w:ascii="Calibri" w:hAnsi="Calibri"/>
          <w:color w:val="525866"/>
          <w:sz w:val="22"/>
        </w:rPr>
        <w:t xml:space="preserve"> SNA's Tools Group reported organic growth of +3% with "green shoots" in both U.S. and international operations. However, management described technicians as "cash rich but confidence poor" — reluctant to take on longer-term obligations on big-ticket purchases due to macro uncertainty (tariffs, Middle East conflict, Ukraine inflation). This is a nuanced read-through for SWK: professional demand is recovering but not accelerating, and the pivot to "quicker payback items" (power tools, torque wrenches) is working. SWK's DEWALT brand, which is more focused on trade contractors than vehicle repair technicians, may see a different demand profile.</w:t>
      </w:r>
    </w:p>
    <w:p>
      <w:pPr>
        <w:pStyle w:val="ListBullet"/>
        <w:ind w:left="360" w:hanging="360"/>
      </w:pPr>
      <w:r>
        <w:rPr>
          <w:rFonts w:ascii="Calibri" w:hAnsi="Calibri"/>
          <w:b/>
          <w:color w:val="525866"/>
          <w:sz w:val="22"/>
        </w:rPr>
        <w:t>Commercial &amp; Industrial (CNI) segment surged +11% organically:</w:t>
      </w:r>
      <w:r>
        <w:rPr>
          <w:rFonts w:ascii="Calibri" w:hAnsi="Calibri"/>
          <w:color w:val="525866"/>
          <w:sz w:val="22"/>
        </w:rPr>
        <w:t xml:space="preserve"> SNA's CNI group — serving critical industries, aerospace, defense, and specialty torque — delivered a record 16.8% operating margin (+330 bps YoY). Double-digit growth in Asia Pacific, European hand tools, and specialty torque/power tools. This is a strong read-through for SWK's Stanley brand (60%+ European sales) and DEWALT's commercial &amp; industrial channel.</w:t>
      </w:r>
    </w:p>
    <w:p>
      <w:pPr>
        <w:pStyle w:val="ListBullet"/>
        <w:ind w:left="360" w:hanging="360"/>
      </w:pPr>
      <w:r>
        <w:rPr>
          <w:rFonts w:ascii="Calibri" w:hAnsi="Calibri"/>
          <w:b/>
          <w:color w:val="525866"/>
          <w:sz w:val="22"/>
        </w:rPr>
        <w:t>Insourcing as tariff mitigation:</w:t>
      </w:r>
      <w:r>
        <w:rPr>
          <w:rFonts w:ascii="Calibri" w:hAnsi="Calibri"/>
          <w:color w:val="525866"/>
          <w:sz w:val="22"/>
        </w:rPr>
        <w:t xml:space="preserve"> SNA brought its entire 14.4V power tool line back from Kunshan, China to its Murphy, NC plant, improving margins. This validates SWK's own China sourcing reduction strategy (targeting &lt;5% of U.S. supply from China by year-end) as a credible margin lever, not just a tariff hedge.</w:t>
      </w:r>
    </w:p>
    <w:p>
      <w:pPr>
        <w:pStyle w:val="ListBullet"/>
        <w:ind w:left="360" w:hanging="360"/>
      </w:pPr>
      <w:r>
        <w:rPr>
          <w:rFonts w:ascii="Calibri" w:hAnsi="Calibri"/>
          <w:b/>
          <w:color w:val="525866"/>
          <w:sz w:val="22"/>
        </w:rPr>
        <w:t>OEM dealership segment weak:</w:t>
      </w:r>
      <w:r>
        <w:rPr>
          <w:rFonts w:ascii="Calibri" w:hAnsi="Calibri"/>
          <w:color w:val="525866"/>
          <w:sz w:val="22"/>
        </w:rPr>
        <w:t xml:space="preserve"> SNA noted "some hesitancy for capital expenditures" from OEM dealerships as automakers have slowed program launches (especially around EVs). This is less directly relevant to SWK but confirms that the automotive end market is bifurcated — independent repair shops are strong, OEM-linked demand is soft.</w:t>
      </w:r>
    </w:p>
    <w:p>
      <w:pPr>
        <w:pStyle w:val="ListBullet"/>
        <w:ind w:left="360" w:hanging="360"/>
      </w:pPr>
      <w:r>
        <w:rPr>
          <w:rFonts w:ascii="Calibri" w:hAnsi="Calibri"/>
          <w:b/>
          <w:color w:val="525866"/>
          <w:sz w:val="22"/>
        </w:rPr>
        <w:t>Macro environment described as "turbulent":</w:t>
      </w:r>
      <w:r>
        <w:rPr>
          <w:rFonts w:ascii="Calibri" w:hAnsi="Calibri"/>
          <w:color w:val="525866"/>
          <w:sz w:val="22"/>
        </w:rPr>
        <w:t xml:space="preserve"> SNA CEO characterized Q2 as having "more elements of uncertainty packed into a single quarter" than he could recall — Ukraine inflation, fluctuating tariffs, restructured supply chains, and the Iran conflict. Despite this, SNA delivered strong results, suggesting that well-positioned professional tool companies can navigate the uncertainty. This is a constructive read-through for SWK's execution narrative.</w:t>
      </w:r>
    </w:p>
    <w:p>
      <w:pPr>
        <w:pStyle w:val="Heading3"/>
      </w:pPr>
      <w:r>
        <w:rPr>
          <w:rFonts w:ascii="Calibri" w:hAnsi="Calibri"/>
          <w:b/>
          <w:color w:val="3B4259"/>
          <w:sz w:val="24"/>
        </w:rPr>
        <w:t>Kennametal (KMT) — Fiscal Q3 2026 Earnings (Reported May 6, 2026)</w:t>
      </w:r>
    </w:p>
    <w:p>
      <w:r>
        <w:rPr>
          <w:rFonts w:ascii="Calibri" w:hAnsi="Calibri"/>
          <w:b/>
          <w:color w:val="525866"/>
          <w:sz w:val="22"/>
        </w:rPr>
        <w:t xml:space="preserve">Relevance: </w:t>
      </w:r>
      <w:r>
        <w:rPr>
          <w:rFonts w:ascii="Calibri" w:hAnsi="Calibri"/>
          <w:color w:val="525866"/>
          <w:sz w:val="22"/>
        </w:rPr>
        <w:t>KMT is an industrial cutting tools and engineered materials peer. Its fiscal Q3 (Feb–Apr 2026) overlaps with SWK's Q1 2026 and provides early read-through on industrial demand trends heading into SWK's Q2.</w:t>
      </w:r>
    </w:p>
    <w:p>
      <w:pPr>
        <w:pStyle w:val="ListBullet"/>
        <w:ind w:left="360" w:hanging="360"/>
      </w:pPr>
      <w:r>
        <w:rPr>
          <w:rFonts w:ascii="Calibri" w:hAnsi="Calibri"/>
          <w:b/>
          <w:color w:val="525866"/>
          <w:sz w:val="22"/>
        </w:rPr>
        <w:t>Industrial volume recovery broadening:</w:t>
      </w:r>
      <w:r>
        <w:rPr>
          <w:rFonts w:ascii="Calibri" w:hAnsi="Calibri"/>
          <w:color w:val="525866"/>
          <w:sz w:val="22"/>
        </w:rPr>
        <w:t xml:space="preserve"> KMT reported +19% organic sales growth (third consecutive quarter of organic growth), driven by price realization, strategic growth initiatives, and a tungsten supply window. Global volumes are up ~3% from the Q1 FY2026 trough following 36 months of stagnant industrial production. Americas and Asia Pacific strengthening; EMEA lagging. This is a positive read-through for SWK's engineered fastening segment and DEWALT's commercial &amp; industrial channel.</w:t>
      </w:r>
    </w:p>
    <w:p>
      <w:pPr>
        <w:pStyle w:val="ListBullet"/>
        <w:ind w:left="360" w:hanging="360"/>
      </w:pPr>
      <w:r>
        <w:rPr>
          <w:rFonts w:ascii="Calibri" w:hAnsi="Calibri"/>
          <w:b/>
          <w:color w:val="525866"/>
          <w:sz w:val="22"/>
        </w:rPr>
        <w:t>Aerospace &amp; defense and construction remain strong:</w:t>
      </w:r>
      <w:r>
        <w:rPr>
          <w:rFonts w:ascii="Calibri" w:hAnsi="Calibri"/>
          <w:color w:val="525866"/>
          <w:sz w:val="22"/>
        </w:rPr>
        <w:t xml:space="preserve"> KMT's earthworks (construction) segment grew +43% YoY, driven by share gains and tungsten supply advantage. Aerospace &amp; defense grew +23%. These are end markets where SWK's Stanley Engineered Fastening business has incremental exposure (nuclear, solar, power generation). The strength validates SWK's fastener segment growth outlook.</w:t>
      </w:r>
    </w:p>
    <w:p>
      <w:pPr>
        <w:pStyle w:val="ListBullet"/>
        <w:ind w:left="360" w:hanging="360"/>
      </w:pPr>
      <w:r>
        <w:rPr>
          <w:rFonts w:ascii="Calibri" w:hAnsi="Calibri"/>
          <w:b/>
          <w:color w:val="525866"/>
          <w:sz w:val="22"/>
        </w:rPr>
        <w:t>Tungsten inflation is a shared risk:</w:t>
      </w:r>
      <w:r>
        <w:rPr>
          <w:rFonts w:ascii="Calibri" w:hAnsi="Calibri"/>
          <w:color w:val="525866"/>
          <w:sz w:val="22"/>
        </w:rPr>
        <w:t xml:space="preserve"> KMT flagged unprecedented tungsten price increases (from ~$900/metric ton to $3,000), which is directly relevant to SWK — management explicitly cited "meaningful inflation in battery metals and tungsten" as offsetting tariff tailwinds. KMT's experience suggests this inflation is real and persistent, not transitory.</w:t>
      </w:r>
    </w:p>
    <w:p>
      <w:pPr>
        <w:pStyle w:val="ListBullet"/>
        <w:ind w:left="360" w:hanging="360"/>
      </w:pPr>
      <w:r>
        <w:rPr>
          <w:rFonts w:ascii="Calibri" w:hAnsi="Calibri"/>
          <w:b/>
          <w:color w:val="525866"/>
          <w:sz w:val="22"/>
        </w:rPr>
        <w:t>General engineering stabilizing:</w:t>
      </w:r>
      <w:r>
        <w:rPr>
          <w:rFonts w:ascii="Calibri" w:hAnsi="Calibri"/>
          <w:color w:val="525866"/>
          <w:sz w:val="22"/>
        </w:rPr>
        <w:t xml:space="preserve"> KMT noted "early signs of stabilization in general engineering" despite soft headline indicators. This is a mild positive for SWK's broader industrial channel, which has been a headwind.</w:t>
      </w:r>
    </w:p>
    <w:p>
      <w:pPr>
        <w:pStyle w:val="Heading3"/>
      </w:pPr>
      <w:r>
        <w:rPr>
          <w:rFonts w:ascii="Calibri" w:hAnsi="Calibri"/>
          <w:b/>
          <w:color w:val="3B4259"/>
          <w:sz w:val="24"/>
        </w:rPr>
        <w:t>Hillman Solutions (HLMN) — Preliminary Q2 2026 Results (July 13, 2026)</w:t>
      </w:r>
    </w:p>
    <w:p>
      <w:r>
        <w:rPr>
          <w:rFonts w:ascii="Calibri" w:hAnsi="Calibri"/>
          <w:b/>
          <w:color w:val="525866"/>
          <w:sz w:val="22"/>
        </w:rPr>
        <w:t xml:space="preserve">Relevance: </w:t>
      </w:r>
      <w:r>
        <w:rPr>
          <w:rFonts w:ascii="Calibri" w:hAnsi="Calibri"/>
          <w:color w:val="525866"/>
          <w:sz w:val="22"/>
        </w:rPr>
        <w:t>HLMN is a hardware products distributor serving home improvement, hardware, and farm/fleet retailers — the same retail channel where SWK's CRAFTSMAN and STANLEY brands are sold.</w:t>
      </w:r>
    </w:p>
    <w:p>
      <w:pPr>
        <w:pStyle w:val="ListBullet"/>
        <w:ind w:left="360" w:hanging="360"/>
      </w:pPr>
      <w:r>
        <w:rPr>
          <w:rFonts w:ascii="Calibri" w:hAnsi="Calibri"/>
          <w:b/>
          <w:color w:val="525866"/>
          <w:sz w:val="22"/>
        </w:rPr>
        <w:t>Hardware retail channel showing +9–10% revenue growth:</w:t>
      </w:r>
      <w:r>
        <w:rPr>
          <w:rFonts w:ascii="Calibri" w:hAnsi="Calibri"/>
          <w:color w:val="525866"/>
          <w:sz w:val="22"/>
        </w:rPr>
        <w:t xml:space="preserve"> HLMN reported preliminary Q2 2026 net sales of $440–$444M, up 9–10% YoY. While HLMN did not provide qualitative commentary on demand drivers, the strong top-line growth in the hardware retail channel is a constructive read-through for SWK's CRAFTSMAN and STANLEY brands at home improvement retailers. If the channel is growing, SWK's new product launches (CRAFTSMAN's largest-ever NPD cycle) have a receptive shelf environment.</w:t>
      </w:r>
    </w:p>
    <w:p>
      <w:pPr>
        <w:pStyle w:val="ListBullet"/>
        <w:ind w:left="360" w:hanging="360"/>
      </w:pPr>
      <w:r>
        <w:rPr>
          <w:rFonts w:ascii="Calibri" w:hAnsi="Calibri"/>
          <w:b/>
          <w:color w:val="525866"/>
          <w:sz w:val="22"/>
        </w:rPr>
        <w:t>Reiterated full-year 2026 guidance:</w:t>
      </w:r>
      <w:r>
        <w:rPr>
          <w:rFonts w:ascii="Calibri" w:hAnsi="Calibri"/>
          <w:color w:val="525866"/>
          <w:sz w:val="22"/>
        </w:rPr>
        <w:t xml:space="preserve"> HLMN maintained its FY 2026 financial guidance alongside the preliminary results, suggesting no deterioration in the retail hardware environment through Q2. This is a mild positive for SWK's retail channel assumptions.</w:t>
      </w:r>
    </w:p>
    <w:p>
      <w:pPr>
        <w:pStyle w:val="Heading3"/>
      </w:pPr>
      <w:r>
        <w:rPr>
          <w:rFonts w:ascii="Calibri" w:hAnsi="Calibri"/>
          <w:b/>
          <w:color w:val="3B4259"/>
          <w:sz w:val="24"/>
        </w:rPr>
        <w:t>Timken (TKR) — Q1 2026 Earnings (Reported May 6, 2026)</w:t>
      </w:r>
    </w:p>
    <w:p>
      <w:r>
        <w:rPr>
          <w:rFonts w:ascii="Calibri" w:hAnsi="Calibri"/>
          <w:b/>
          <w:color w:val="525866"/>
          <w:sz w:val="22"/>
        </w:rPr>
        <w:t xml:space="preserve">Relevance: </w:t>
      </w:r>
      <w:r>
        <w:rPr>
          <w:rFonts w:ascii="Calibri" w:hAnsi="Calibri"/>
          <w:color w:val="525866"/>
          <w:sz w:val="22"/>
        </w:rPr>
        <w:t>TKR is an industrial bearings and motion components peer with overlapping end markets (aerospace, off-highway, industrial automation). Its Q1 2026 (Jan–Mar) provides read-through on industrial demand heading into SWK's Q2.</w:t>
      </w:r>
    </w:p>
    <w:p>
      <w:pPr>
        <w:pStyle w:val="ListBullet"/>
        <w:ind w:left="360" w:hanging="360"/>
      </w:pPr>
      <w:r>
        <w:rPr>
          <w:rFonts w:ascii="Calibri" w:hAnsi="Calibri"/>
          <w:b/>
          <w:color w:val="525866"/>
          <w:sz w:val="22"/>
        </w:rPr>
        <w:t>Industrial demand improving, order book up YoY and sequentially:</w:t>
      </w:r>
      <w:r>
        <w:rPr>
          <w:rFonts w:ascii="Calibri" w:hAnsi="Calibri"/>
          <w:color w:val="525866"/>
          <w:sz w:val="22"/>
        </w:rPr>
        <w:t xml:space="preserve"> TKR reported +4.3% organic growth in Q1 2026, with the order book up both sequentially and year-on-year. Management raised full-year organic revenue guidance to +3% (from flat). Key drivers: aerospace/defense, heavy industries, off-highway, and early green shoots in agriculture. This is a positive read-through for SWK's engineered fastening segment and the broader industrial end market.</w:t>
      </w:r>
    </w:p>
    <w:p>
      <w:pPr>
        <w:pStyle w:val="ListBullet"/>
        <w:ind w:left="360" w:hanging="360"/>
      </w:pPr>
      <w:r>
        <w:rPr>
          <w:rFonts w:ascii="Calibri" w:hAnsi="Calibri"/>
          <w:b/>
          <w:color w:val="525866"/>
          <w:sz w:val="22"/>
        </w:rPr>
        <w:t>Pricing actions gaining traction:</w:t>
      </w:r>
      <w:r>
        <w:rPr>
          <w:rFonts w:ascii="Calibri" w:hAnsi="Calibri"/>
          <w:color w:val="525866"/>
          <w:sz w:val="22"/>
        </w:rPr>
        <w:t xml:space="preserve"> TKR implemented pricing actions adding ~3% to top-line revenue in Q1, with customers "understanding" the inflationary environment. This validates SWK's own pricing strategy and suggests the industrial channel is absorbing price increases without significant demand destruction.</w:t>
      </w:r>
    </w:p>
    <w:p>
      <w:pPr>
        <w:pStyle w:val="ListBullet"/>
        <w:ind w:left="360" w:hanging="360"/>
      </w:pPr>
      <w:r>
        <w:rPr>
          <w:rFonts w:ascii="Calibri" w:hAnsi="Calibri"/>
          <w:b/>
          <w:color w:val="525866"/>
          <w:sz w:val="22"/>
        </w:rPr>
        <w:t>Tariff tailwind from India IEEPA change:</w:t>
      </w:r>
      <w:r>
        <w:rPr>
          <w:rFonts w:ascii="Calibri" w:hAnsi="Calibri"/>
          <w:color w:val="525866"/>
          <w:sz w:val="22"/>
        </w:rPr>
        <w:t xml:space="preserve"> TKR flagged a $0.15/share EPS tailwind from lower tariff rates on India imports (a large portion of TKR's U.S. imports). SWK's tariff exposure is primarily China-sourced, so this specific benefit is less applicable, but the broader message that tariff policy changes can be net positive for industrial companies is relevant.</w:t>
      </w:r>
    </w:p>
    <w:p>
      <w:pPr>
        <w:pStyle w:val="ListBullet"/>
        <w:ind w:left="360" w:hanging="360"/>
      </w:pPr>
      <w:r>
        <w:rPr>
          <w:rFonts w:ascii="Calibri" w:hAnsi="Calibri"/>
          <w:b/>
          <w:color w:val="525866"/>
          <w:sz w:val="22"/>
        </w:rPr>
        <w:t>"Two-speed industrial world" confirmed:</w:t>
      </w:r>
      <w:r>
        <w:rPr>
          <w:rFonts w:ascii="Calibri" w:hAnsi="Calibri"/>
          <w:color w:val="525866"/>
          <w:sz w:val="22"/>
        </w:rPr>
        <w:t xml:space="preserve"> TKR management described a "2-speed industrial world" with aerospace/defense, data centers, and grid infrastructure showing great demand, while general industrial is more restrained. This is consistent with SWK's own commentary that U.S. commercial &amp; industrial is strong while retail/DIY remains soft.</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$3B credit facility refinancing (June 24)</w:t>
      </w:r>
      <w:r>
        <w:rPr>
          <w:rFonts w:ascii="Calibri" w:hAnsi="Calibri"/>
          <w:color w:val="525866"/>
          <w:sz w:val="22"/>
        </w:rPr>
        <w:t>, which signals balance sheet confidence and financial flexibility for the buyback program — a direct positive for the capital return narrative heading into Q2 earnings.</w:t>
      </w:r>
    </w:p>
    <w:p>
      <w:pPr>
        <w:pStyle w:val="ListBullet"/>
        <w:ind w:left="360" w:hanging="360"/>
      </w:pPr>
      <w:r>
        <w:rPr>
          <w:rFonts w:ascii="Calibri" w:hAnsi="Calibri"/>
          <w:b/>
          <w:color w:val="525866"/>
          <w:sz w:val="22"/>
        </w:rPr>
        <w:t>June 24, 2026 — SWK secures $3B in new and amended credit facilities (8-K):</w:t>
      </w:r>
      <w:r>
        <w:rPr>
          <w:rFonts w:ascii="Calibri" w:hAnsi="Calibri"/>
          <w:color w:val="525866"/>
          <w:sz w:val="22"/>
        </w:rPr>
        <w:t xml:space="preserve"> Stanley Black &amp; Decker refinanced its revolving credit facilities, securing $3B in new/amended commitments. This extends maturities, improves financial flexibility, and signals bank confidence in the company's balance sheet trajectory. </w:t>
      </w:r>
      <w:r>
        <w:rPr>
          <w:rFonts w:ascii="Calibri" w:hAnsi="Calibri"/>
          <w:i/>
          <w:color w:val="525866"/>
          <w:sz w:val="22"/>
        </w:rPr>
        <w:t>Implication:</w:t>
      </w:r>
      <w:r>
        <w:rPr>
          <w:rFonts w:ascii="Calibri" w:hAnsi="Calibri"/>
          <w:color w:val="525866"/>
          <w:sz w:val="22"/>
        </w:rPr>
        <w:t xml:space="preserve"> Directly supports the $500M share repurchase program and the path to 2.5x net debt/EBITDA by year-end. The stock surged ~+7% on June 24–25 following this announcement.</w:t>
      </w:r>
    </w:p>
    <w:p>
      <w:pPr>
        <w:pStyle w:val="ListBullet"/>
        <w:ind w:left="360" w:hanging="360"/>
      </w:pPr>
      <w:r>
        <w:rPr>
          <w:rFonts w:ascii="Calibri" w:hAnsi="Calibri"/>
          <w:b/>
          <w:color w:val="525866"/>
          <w:sz w:val="22"/>
        </w:rPr>
        <w:t>June 23, 2026 — SWK announces Q2 2026 earnings release date (press release):</w:t>
      </w:r>
      <w:r>
        <w:rPr>
          <w:rFonts w:ascii="Calibri" w:hAnsi="Calibri"/>
          <w:color w:val="525866"/>
          <w:sz w:val="22"/>
        </w:rPr>
        <w:t xml:space="preserve"> Company confirmed it will release Q2 2026 results (specific date TBD). </w:t>
      </w:r>
      <w:r>
        <w:rPr>
          <w:rFonts w:ascii="Calibri" w:hAnsi="Calibri"/>
          <w:i/>
          <w:color w:val="525866"/>
          <w:sz w:val="22"/>
        </w:rPr>
        <w:t>Implication:</w:t>
      </w:r>
      <w:r>
        <w:rPr>
          <w:rFonts w:ascii="Calibri" w:hAnsi="Calibri"/>
          <w:color w:val="525866"/>
          <w:sz w:val="22"/>
        </w:rPr>
        <w:t xml:space="preserve"> Routine but confirms the reporting timeline is on track.</w:t>
      </w:r>
    </w:p>
    <w:p>
      <w:pPr>
        <w:pStyle w:val="ListBullet"/>
        <w:ind w:left="360" w:hanging="360"/>
      </w:pPr>
      <w:r>
        <w:rPr>
          <w:rFonts w:ascii="Calibri" w:hAnsi="Calibri"/>
          <w:b/>
          <w:color w:val="525866"/>
          <w:sz w:val="22"/>
        </w:rPr>
        <w:t>June 9, 2026 — Wells Fargo Industrials &amp; Materials Conference:</w:t>
      </w:r>
      <w:r>
        <w:rPr>
          <w:rFonts w:ascii="Calibri" w:hAnsi="Calibri"/>
          <w:color w:val="525866"/>
          <w:sz w:val="22"/>
        </w:rPr>
        <w:t xml:space="preserve"> CEO Chris Nelson presented, reiterating the gross margin bridge (40% productivity / 40% fixed cost / 20% tariff mitigation), the USMCA qualification ramp (targeting 75–85% by year-end), and the capital allocation priority stack (organic growth → buybacks → bolt-on M&amp;A only longer-term). </w:t>
      </w:r>
      <w:r>
        <w:rPr>
          <w:rFonts w:ascii="Calibri" w:hAnsi="Calibri"/>
          <w:i/>
          <w:color w:val="525866"/>
          <w:sz w:val="22"/>
        </w:rPr>
        <w:t>Implication:</w:t>
      </w:r>
      <w:r>
        <w:rPr>
          <w:rFonts w:ascii="Calibri" w:hAnsi="Calibri"/>
          <w:color w:val="525866"/>
          <w:sz w:val="22"/>
        </w:rPr>
        <w:t xml:space="preserve"> No guidance changes, but the confident tone and detailed bridge reinforced the transformation narrative. Stock was up ~+2% on the day.</w:t>
      </w:r>
    </w:p>
    <w:p>
      <w:pPr>
        <w:pStyle w:val="ListBullet"/>
        <w:ind w:left="360" w:hanging="360"/>
      </w:pPr>
      <w:r>
        <w:rPr>
          <w:rFonts w:ascii="Calibri" w:hAnsi="Calibri"/>
          <w:b/>
          <w:color w:val="525866"/>
          <w:sz w:val="22"/>
        </w:rPr>
        <w:t>June 1, 2026 — SWK to present at Wells Fargo Industrials &amp; Materials Conference (press release):</w:t>
      </w:r>
      <w:r>
        <w:rPr>
          <w:rFonts w:ascii="Calibri" w:hAnsi="Calibri"/>
          <w:color w:val="525866"/>
          <w:sz w:val="22"/>
        </w:rPr>
        <w:t xml:space="preserve"> Routine conference announcement.</w:t>
      </w:r>
    </w:p>
    <w:p>
      <w:pPr>
        <w:pStyle w:val="ListBullet"/>
        <w:ind w:left="360" w:hanging="360"/>
      </w:pPr>
      <w:r>
        <w:rPr>
          <w:rFonts w:ascii="Calibri" w:hAnsi="Calibri"/>
          <w:b/>
          <w:color w:val="525866"/>
          <w:sz w:val="22"/>
        </w:rPr>
        <w:t>April 29, 2026 — Q1 2026 earnings: large EPS beat, CAM close, $500M buyback authorized:</w:t>
      </w:r>
      <w:r>
        <w:rPr>
          <w:rFonts w:ascii="Calibri" w:hAnsi="Calibri"/>
          <w:color w:val="525866"/>
          <w:sz w:val="22"/>
        </w:rPr>
        <w:t xml:space="preserve"> Adjusted EPS of $0.80 was $0.20 above the high end of guidance ($0.55–$0.60). CAM aerospace divestiture closed April 6 with ~$1.6B net proceeds applied to debt reduction. Board authorized $500M share repurchase program. </w:t>
      </w:r>
      <w:r>
        <w:rPr>
          <w:rFonts w:ascii="Calibri" w:hAnsi="Calibri"/>
          <w:i/>
          <w:color w:val="525866"/>
          <w:sz w:val="22"/>
        </w:rPr>
        <w:t>Implication:</w:t>
      </w:r>
      <w:r>
        <w:rPr>
          <w:rFonts w:ascii="Calibri" w:hAnsi="Calibri"/>
          <w:color w:val="525866"/>
          <w:sz w:val="22"/>
        </w:rPr>
        <w:t xml:space="preserve"> The baseline event for this preview — set a high bar for Q2 execution and triggered the stock's +24% run.</w:t>
      </w:r>
    </w:p>
    <w:p>
      <w:pPr>
        <w:pStyle w:val="ListBullet"/>
        <w:ind w:left="360" w:hanging="360"/>
      </w:pPr>
      <w:r>
        <w:rPr>
          <w:rFonts w:ascii="Calibri" w:hAnsi="Calibri"/>
          <w:b/>
          <w:color w:val="525866"/>
          <w:sz w:val="22"/>
        </w:rPr>
        <w:t>Tariff policy evolution (ongoing):</w:t>
      </w:r>
      <w:r>
        <w:rPr>
          <w:rFonts w:ascii="Calibri" w:hAnsi="Calibri"/>
          <w:color w:val="525866"/>
          <w:sz w:val="22"/>
        </w:rPr>
        <w:t xml:space="preserve"> Management's base case assumes Section 301 tariffs replace Section 122 rates around July 25, 2026, effectively resetting tariff costs to IEEPA-equivalent levels. The temporary Section 122 tariff relief (lower than IEEPA) has been offset nearly dollar-for-dollar by battery metals, tungsten, and resin inflation. </w:t>
      </w:r>
      <w:r>
        <w:rPr>
          <w:rFonts w:ascii="Calibri" w:hAnsi="Calibri"/>
          <w:i/>
          <w:color w:val="525866"/>
          <w:sz w:val="22"/>
        </w:rPr>
        <w:t>Implication:</w:t>
      </w:r>
      <w:r>
        <w:rPr>
          <w:rFonts w:ascii="Calibri" w:hAnsi="Calibri"/>
          <w:color w:val="525866"/>
          <w:sz w:val="22"/>
        </w:rPr>
        <w:t xml:space="preserve"> Any delay in Section 301 implementation or further tariff relief would be a meaningful upside surprise for H2 2026 gross margins.</w:t>
      </w:r>
    </w:p>
    <w:p>
      <w:pPr>
        <w:pStyle w:val="ListBullet"/>
        <w:ind w:left="360" w:hanging="360"/>
      </w:pPr>
      <w:r>
        <w:rPr>
          <w:rFonts w:ascii="Calibri" w:hAnsi="Calibri"/>
          <w:b/>
          <w:color w:val="525866"/>
          <w:sz w:val="22"/>
        </w:rPr>
        <w:t>Analyst rating changes since Q1 print:</w:t>
      </w:r>
      <w:r>
        <w:rPr>
          <w:rFonts w:ascii="Calibri" w:hAnsi="Calibri"/>
          <w:color w:val="525866"/>
          <w:sz w:val="22"/>
        </w:rPr>
        <w:t xml:space="preserve"> Wells Fargo raised PT from $80 to $90 (Equal Weight, June 18); JPMorgan raised PT from $65 to $75 (Underweight, May 1); Morgan Stanley lowered PT from $87 to $84 (Equal Weight, May 28); Barclays maintained Overweight with PT $95 (lowered from $100 in April). </w:t>
      </w:r>
      <w:r>
        <w:rPr>
          <w:rFonts w:ascii="Calibri" w:hAnsi="Calibri"/>
          <w:i/>
          <w:color w:val="525866"/>
          <w:sz w:val="22"/>
        </w:rPr>
        <w:t>Implication:</w:t>
      </w:r>
      <w:r>
        <w:rPr>
          <w:rFonts w:ascii="Calibri" w:hAnsi="Calibri"/>
          <w:color w:val="525866"/>
          <w:sz w:val="22"/>
        </w:rPr>
        <w:t xml:space="preserve"> Consensus PT of ~$88.44 is now below the current share price (~$94), suggesting the stock has run ahead of sell-side targets — a potential headwind if Q2 results are merely in-line.</w:t>
      </w:r>
    </w:p>
    <w:p>
      <w:pPr>
        <w:pStyle w:val="ListBullet"/>
        <w:ind w:left="360" w:hanging="360"/>
      </w:pPr>
      <w:r>
        <w:rPr>
          <w:rFonts w:ascii="Calibri" w:hAnsi="Calibri"/>
          <w:b/>
          <w:color w:val="525866"/>
          <w:sz w:val="22"/>
        </w:rPr>
        <w:t>Outdoor gas walk-behind mower transition (back third of 2026):</w:t>
      </w:r>
      <w:r>
        <w:rPr>
          <w:rFonts w:ascii="Calibri" w:hAnsi="Calibri"/>
          <w:color w:val="525866"/>
          <w:sz w:val="22"/>
        </w:rPr>
        <w:t xml:space="preserve"> SWK is executing a shift to a licensed model for select gas walk-behind mowers, which will reduce reported revenue but improve margins. Management confirmed this is tracking as expected and has little impact on the spring/summer selling season. </w:t>
      </w:r>
      <w:r>
        <w:rPr>
          <w:rFonts w:ascii="Calibri" w:hAnsi="Calibri"/>
          <w:i/>
          <w:color w:val="525866"/>
          <w:sz w:val="22"/>
        </w:rPr>
        <w:t>Implication:</w:t>
      </w:r>
      <w:r>
        <w:rPr>
          <w:rFonts w:ascii="Calibri" w:hAnsi="Calibri"/>
          <w:color w:val="525866"/>
          <w:sz w:val="22"/>
        </w:rPr>
        <w:t xml:space="preserve"> A modest top-line headwind in H2 2026 but accretive to gross margins — watch for any update on the transition timeline.</w:t>
      </w:r>
    </w:p>
    <w:p>
      <w:pPr>
        <w:pStyle w:val="ListBullet"/>
        <w:ind w:left="360" w:hanging="360"/>
      </w:pPr>
      <w:r>
        <w:rPr>
          <w:rFonts w:ascii="Calibri" w:hAnsi="Calibri"/>
          <w:b/>
          <w:color w:val="525866"/>
          <w:sz w:val="22"/>
        </w:rPr>
        <w:t>CRAFTSMAN largest-ever NPD launch cycle in 2026:</w:t>
      </w:r>
      <w:r>
        <w:rPr>
          <w:rFonts w:ascii="Calibri" w:hAnsi="Calibri"/>
          <w:color w:val="525866"/>
          <w:sz w:val="22"/>
        </w:rPr>
        <w:t xml:space="preserve"> Management confirmed the company is launching more new CRAFTSMAN products in 2026 than in any year since the brand was acquired in 2017. The brand is expected to pivot to growth in 2027. </w:t>
      </w:r>
      <w:r>
        <w:rPr>
          <w:rFonts w:ascii="Calibri" w:hAnsi="Calibri"/>
          <w:i/>
          <w:color w:val="525866"/>
          <w:sz w:val="22"/>
        </w:rPr>
        <w:t>Implication:</w:t>
      </w:r>
      <w:r>
        <w:rPr>
          <w:rFonts w:ascii="Calibri" w:hAnsi="Calibri"/>
          <w:color w:val="525866"/>
          <w:sz w:val="22"/>
        </w:rPr>
        <w:t xml:space="preserve"> Q2 2026 may see early sell-in benefits from new CRAFTSMAN listings at retail, supporting the Tools &amp; Storage revenue line.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print — all transactions are routine RSU vesting/tax withholding events and annual director equity grants. </w:t>
      </w:r>
      <w:r>
        <w:rPr>
          <w:rFonts w:ascii="Calibri" w:hAnsi="Calibri"/>
          <w:b/>
          <w:color w:val="525866"/>
          <w:sz w:val="22"/>
        </w:rPr>
        <w:t>The absence of discretionary selling by CEO Nelson or Executive Chair Allan despite the stock's +24% run is a mild positive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Donald Allan</w:t>
            </w:r>
          </w:p>
        </w:tc>
        <w:tc>
          <w:tcPr>
            <w:tcW w:type="dxa" w:w="1440"/>
          </w:tcPr>
          <w:p>
            <w:r>
              <w:rPr>
                <w:rFonts w:ascii="Calibri" w:hAnsi="Calibri"/>
                <w:sz w:val="22"/>
              </w:rPr>
              <w:t>Executive Chair, Director</w:t>
            </w:r>
          </w:p>
        </w:tc>
        <w:tc>
          <w:tcPr>
            <w:tcW w:type="dxa" w:w="1440"/>
          </w:tcPr>
          <w:p>
            <w:r>
              <w:rPr>
                <w:rFonts w:ascii="Calibri" w:hAnsi="Calibri"/>
                <w:sz w:val="22"/>
              </w:rPr>
              <w:t>RSU Vest / Tax Withholding</w:t>
            </w:r>
          </w:p>
        </w:tc>
        <w:tc>
          <w:tcPr>
            <w:tcW w:type="dxa" w:w="1440"/>
          </w:tcPr>
          <w:p>
            <w:r>
              <w:rPr>
                <w:rFonts w:ascii="Calibri" w:hAnsi="Calibri"/>
                <w:sz w:val="22"/>
              </w:rPr>
              <w:t>2,001 vested; 875 withheld for taxes</w:t>
            </w:r>
          </w:p>
        </w:tc>
        <w:tc>
          <w:tcPr>
            <w:tcW w:type="dxa" w:w="1440"/>
          </w:tcPr>
          <w:p>
            <w:r>
              <w:rPr>
                <w:rFonts w:ascii="Calibri" w:hAnsi="Calibri"/>
                <w:sz w:val="22"/>
              </w:rPr>
              <w:t>Jul 5, 2026</w:t>
            </w:r>
          </w:p>
        </w:tc>
        <w:tc>
          <w:tcPr>
            <w:tcW w:type="dxa" w:w="1440"/>
          </w:tcPr>
          <w:p>
            <w:r>
              <w:rPr>
                <w:rFonts w:ascii="Calibri" w:hAnsi="Calibri"/>
                <w:sz w:val="22"/>
              </w:rPr>
              <w:t>Routine RSU vesting; tax withholding (code F). Not a discretionary sale. Retains ~148,931 shares.</w:t>
            </w:r>
          </w:p>
        </w:tc>
      </w:tr>
      <w:tr>
        <w:tc>
          <w:tcPr>
            <w:tcW w:type="dxa" w:w="1440"/>
          </w:tcPr>
          <w:p>
            <w:r>
              <w:rPr>
                <w:rFonts w:ascii="Calibri" w:hAnsi="Calibri"/>
                <w:sz w:val="22"/>
              </w:rPr>
              <w:t>Christopher Nelson</w:t>
            </w:r>
          </w:p>
        </w:tc>
        <w:tc>
          <w:tcPr>
            <w:tcW w:type="dxa" w:w="1440"/>
          </w:tcPr>
          <w:p>
            <w:r>
              <w:rPr>
                <w:rFonts w:ascii="Calibri" w:hAnsi="Calibri"/>
                <w:sz w:val="22"/>
              </w:rPr>
              <w:t>President &amp; CEO, Director</w:t>
            </w:r>
          </w:p>
        </w:tc>
        <w:tc>
          <w:tcPr>
            <w:tcW w:type="dxa" w:w="1440"/>
          </w:tcPr>
          <w:p>
            <w:r>
              <w:rPr>
                <w:rFonts w:ascii="Calibri" w:hAnsi="Calibri"/>
                <w:sz w:val="22"/>
              </w:rPr>
              <w:t>RSU Vest / Tax Withholding</w:t>
            </w:r>
          </w:p>
        </w:tc>
        <w:tc>
          <w:tcPr>
            <w:tcW w:type="dxa" w:w="1440"/>
          </w:tcPr>
          <w:p>
            <w:r>
              <w:rPr>
                <w:rFonts w:ascii="Calibri" w:hAnsi="Calibri"/>
                <w:sz w:val="22"/>
              </w:rPr>
              <w:t>22,853 vested; 10,216 withheld for taxes</w:t>
            </w:r>
          </w:p>
        </w:tc>
        <w:tc>
          <w:tcPr>
            <w:tcW w:type="dxa" w:w="1440"/>
          </w:tcPr>
          <w:p>
            <w:r>
              <w:rPr>
                <w:rFonts w:ascii="Calibri" w:hAnsi="Calibri"/>
                <w:sz w:val="22"/>
              </w:rPr>
              <w:t>Jun 29, 2026</w:t>
            </w:r>
          </w:p>
        </w:tc>
        <w:tc>
          <w:tcPr>
            <w:tcW w:type="dxa" w:w="1440"/>
          </w:tcPr>
          <w:p>
            <w:r>
              <w:rPr>
                <w:rFonts w:ascii="Calibri" w:hAnsi="Calibri"/>
                <w:sz w:val="22"/>
              </w:rPr>
              <w:t>Routine RSU vesting; tax withholding (code F). Not a discretionary sale. Retains ~47,883 shares.</w:t>
            </w:r>
          </w:p>
        </w:tc>
      </w:tr>
      <w:tr>
        <w:tc>
          <w:tcPr>
            <w:tcW w:type="dxa" w:w="1440"/>
          </w:tcPr>
          <w:p>
            <w:r>
              <w:rPr>
                <w:rFonts w:ascii="Calibri" w:hAnsi="Calibri"/>
                <w:sz w:val="22"/>
              </w:rPr>
              <w:t>Multiple Directors (8 individuals)</w:t>
            </w:r>
          </w:p>
        </w:tc>
        <w:tc>
          <w:tcPr>
            <w:tcW w:type="dxa" w:w="1440"/>
          </w:tcPr>
          <w:p>
            <w:r>
              <w:rPr>
                <w:rFonts w:ascii="Calibri" w:hAnsi="Calibri"/>
                <w:sz w:val="22"/>
              </w:rPr>
              <w:t>Board of Directors</w:t>
            </w:r>
          </w:p>
        </w:tc>
        <w:tc>
          <w:tcPr>
            <w:tcW w:type="dxa" w:w="1440"/>
          </w:tcPr>
          <w:p>
            <w:r>
              <w:rPr>
                <w:rFonts w:ascii="Calibri" w:hAnsi="Calibri"/>
                <w:sz w:val="22"/>
              </w:rPr>
              <w:t>Annual Director Equity Grant</w:t>
            </w:r>
          </w:p>
        </w:tc>
        <w:tc>
          <w:tcPr>
            <w:tcW w:type="dxa" w:w="1440"/>
          </w:tcPr>
          <w:p>
            <w:r>
              <w:rPr>
                <w:rFonts w:ascii="Calibri" w:hAnsi="Calibri"/>
                <w:sz w:val="22"/>
              </w:rPr>
              <w:t>~25–545 shares each (common stock + deferred shares)</w:t>
            </w:r>
          </w:p>
        </w:tc>
        <w:tc>
          <w:tcPr>
            <w:tcW w:type="dxa" w:w="1440"/>
          </w:tcPr>
          <w:p>
            <w:r>
              <w:rPr>
                <w:rFonts w:ascii="Calibri" w:hAnsi="Calibri"/>
                <w:sz w:val="22"/>
              </w:rPr>
              <w:t>Jun 23, 2026</w:t>
            </w:r>
          </w:p>
        </w:tc>
        <w:tc>
          <w:tcPr>
            <w:tcW w:type="dxa" w:w="1440"/>
          </w:tcPr>
          <w:p>
            <w:r>
              <w:rPr>
                <w:rFonts w:ascii="Calibri" w:hAnsi="Calibri"/>
                <w:sz w:val="22"/>
              </w:rPr>
              <w:t>Routine annual director compensation grants (code A). Carter, Crew, Garrison, Hankin, Laschinger, Mitchell, OKelly, Palmieri. Not open-market purchases.</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Annual Director Equity Grant</w:t>
            </w:r>
          </w:p>
        </w:tc>
        <w:tc>
          <w:tcPr>
            <w:tcW w:type="dxa" w:w="1440"/>
          </w:tcPr>
          <w:p>
            <w:r>
              <w:rPr>
                <w:rFonts w:ascii="Calibri" w:hAnsi="Calibri"/>
                <w:sz w:val="22"/>
              </w:rPr>
              <w:t>2,603 shares each</w:t>
            </w:r>
          </w:p>
        </w:tc>
        <w:tc>
          <w:tcPr>
            <w:tcW w:type="dxa" w:w="1440"/>
          </w:tcPr>
          <w:p>
            <w:r>
              <w:rPr>
                <w:rFonts w:ascii="Calibri" w:hAnsi="Calibri"/>
                <w:sz w:val="22"/>
              </w:rPr>
              <w:t>May 4, 2026</w:t>
            </w:r>
          </w:p>
        </w:tc>
        <w:tc>
          <w:tcPr>
            <w:tcW w:type="dxa" w:w="1440"/>
          </w:tcPr>
          <w:p>
            <w:r>
              <w:rPr>
                <w:rFonts w:ascii="Calibri" w:hAnsi="Calibri"/>
                <w:sz w:val="22"/>
              </w:rPr>
              <w:t>Routine annual director compensation grants (code A). Carter, Crew, Garrison, Greulach (1,952 RSUs), Hankin, Laschinger, Manning, Mitchell, OKelly, Palmieri. Not open-market purchases.</w:t>
            </w:r>
          </w:p>
        </w:tc>
      </w:tr>
    </w:tbl>
    <w:p>
      <w:r>
        <w:rPr>
          <w:rFonts w:ascii="Calibri" w:hAnsi="Calibri"/>
          <w:i/>
          <w:color w:val="525866"/>
          <w:sz w:val="22"/>
        </w:rPr>
        <w:t xml:space="preserve">Source: SEC Form 4 Filings Database. All transactions since April 29, 2026 (Q1 2026 earnings date). There are </w:t>
      </w:r>
      <w:r>
        <w:rPr>
          <w:rFonts w:ascii="Calibri" w:hAnsi="Calibri"/>
          <w:b/>
          <w:i/>
          <w:color w:val="525866"/>
          <w:sz w:val="22"/>
        </w:rPr>
        <w:t>no open-market purchases or discretionary sales</w:t>
      </w:r>
      <w:r>
        <w:rPr>
          <w:rFonts w:ascii="Calibri" w:hAnsi="Calibri"/>
          <w:i/>
          <w:color w:val="525866"/>
          <w:sz w:val="22"/>
        </w:rPr>
        <w:t xml:space="preserve"> by any executive or director in the period. All activity consists of routine RSU vesting with mandatory tax withholding (CEO Nelson, Executive Chair Allan) and annual director equity compensation grants. The absence of any discretionary selling by senior executives despite the stock's +24% appreciation since the Q1 print is a mild positive signal — insiders are not using the rally as an exit opportunity.</w:t>
      </w:r>
    </w:p>
    <w:p>
      <w:r>
        <w:br w:type="page"/>
      </w:r>
    </w:p>
    <w:p>
      <w:pPr>
        <w:pStyle w:val="Heading2"/>
      </w:pPr>
      <w:r>
        <w:rPr>
          <w:rFonts w:ascii="Calibri" w:hAnsi="Calibri"/>
          <w:b/>
          <w:color w:val="3B4259"/>
          <w:sz w:val="28"/>
        </w:rPr>
        <w:t>Appendix: Key Data Sources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All KPI consensus estimates and actuals (Net Sales, Adj. EPS, Adj. Gross Margin, Operating Income, Organic Growth, FCF, segment revenues)</w:t>
      </w:r>
    </w:p>
    <w:p>
      <w:pPr>
        <w:pStyle w:val="ListBullet"/>
        <w:ind w:left="360" w:hanging="360"/>
      </w:pPr>
      <w:r>
        <w:rPr>
          <w:rFonts w:ascii="Calibri" w:hAnsi="Calibri"/>
          <w:b/>
          <w:color w:val="525866"/>
          <w:sz w:val="22"/>
        </w:rPr>
        <w:t>SWK Q1 2026 Earnings Call Transcript (April 29, 2026)</w:t>
      </w:r>
      <w:r>
        <w:rPr>
          <w:rFonts w:ascii="Calibri" w:hAnsi="Calibri"/>
          <w:color w:val="525866"/>
          <w:sz w:val="22"/>
        </w:rPr>
        <w:t xml:space="preserve"> — Q2 and FY 2026 guidance, tariff strategy, gross margin bridge, brand initiatives</w:t>
      </w:r>
    </w:p>
    <w:p>
      <w:pPr>
        <w:pStyle w:val="ListBullet"/>
        <w:ind w:left="360" w:hanging="360"/>
      </w:pPr>
      <w:r>
        <w:rPr>
          <w:rFonts w:ascii="Calibri" w:hAnsi="Calibri"/>
          <w:b/>
          <w:color w:val="525866"/>
          <w:sz w:val="22"/>
        </w:rPr>
        <w:t>SWK Wells Fargo Industrials &amp; Materials Conference Transcript (June 9, 2026)</w:t>
      </w:r>
      <w:r>
        <w:rPr>
          <w:rFonts w:ascii="Calibri" w:hAnsi="Calibri"/>
          <w:color w:val="525866"/>
          <w:sz w:val="22"/>
        </w:rPr>
        <w:t xml:space="preserve"> — Post-earnings management commentary, USMCA progress, capital allocation priorities</w:t>
      </w:r>
    </w:p>
    <w:p>
      <w:pPr>
        <w:pStyle w:val="ListBullet"/>
        <w:ind w:left="360" w:hanging="360"/>
      </w:pPr>
      <w:r>
        <w:rPr>
          <w:rFonts w:ascii="Calibri" w:hAnsi="Calibri"/>
          <w:b/>
          <w:color w:val="525866"/>
          <w:sz w:val="22"/>
        </w:rPr>
        <w:t>SWK 8-K (June 24, 2026)</w:t>
      </w:r>
      <w:r>
        <w:rPr>
          <w:rFonts w:ascii="Calibri" w:hAnsi="Calibri"/>
          <w:color w:val="525866"/>
          <w:sz w:val="22"/>
        </w:rPr>
        <w:t xml:space="preserve"> — $3B credit facility refinancing</w:t>
      </w:r>
    </w:p>
    <w:p>
      <w:pPr>
        <w:pStyle w:val="ListBullet"/>
        <w:ind w:left="360" w:hanging="360"/>
      </w:pPr>
      <w:r>
        <w:rPr>
          <w:rFonts w:ascii="Calibri" w:hAnsi="Calibri"/>
          <w:b/>
          <w:color w:val="525866"/>
          <w:sz w:val="22"/>
        </w:rPr>
        <w:t>Peer Transcripts</w:t>
      </w:r>
      <w:r>
        <w:rPr>
          <w:rFonts w:ascii="Calibri" w:hAnsi="Calibri"/>
          <w:color w:val="525866"/>
          <w:sz w:val="22"/>
        </w:rPr>
        <w:t xml:space="preserve"> — TTC Q2 FY2026 (June 4, 2026); SNA Q2 2026 (July 23, 2026); KMT Q3 FY2026 (May 6, 2026); TKR Q1 2026 (May 6, 2026); HLMN Preliminary Q2 2026 (July 13, 2026)</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SWK, XLI, SPY daily close prices April 29 – July 28, 2026</w:t>
      </w:r>
    </w:p>
    <w:p>
      <w:pPr>
        <w:pStyle w:val="ListBullet"/>
        <w:ind w:left="360" w:hanging="360"/>
      </w:pPr>
      <w:r>
        <w:rPr>
          <w:rFonts w:ascii="Calibri" w:hAnsi="Calibri"/>
          <w:b/>
          <w:color w:val="525866"/>
          <w:sz w:val="22"/>
        </w:rPr>
        <w:t>Insider Transaction Data</w:t>
      </w:r>
      <w:r>
        <w:rPr>
          <w:rFonts w:ascii="Calibri" w:hAnsi="Calibri"/>
          <w:color w:val="525866"/>
          <w:sz w:val="22"/>
        </w:rPr>
        <w:t xml:space="preserve"> — SEC Form 4 Filings Database; April 29 – July 28, 2026</w:t>
      </w:r>
    </w:p>
    <w:p>
      <w:pPr>
        <w:pStyle w:val="ListBullet"/>
        <w:ind w:left="360" w:hanging="360"/>
      </w:pPr>
      <w:r>
        <w:rPr>
          <w:rFonts w:ascii="Calibri" w:hAnsi="Calibri"/>
          <w:b/>
          <w:color w:val="525866"/>
          <w:sz w:val="22"/>
        </w:rPr>
        <w:t>Analyst Ratings</w:t>
      </w:r>
      <w:r>
        <w:rPr>
          <w:rFonts w:ascii="Calibri" w:hAnsi="Calibri"/>
          <w:color w:val="525866"/>
          <w:sz w:val="22"/>
        </w:rPr>
        <w:t xml:space="preserve"> — Internet sources (MarketBeat, Perplexity); Barclays, JPMorgan, Wells Fargo, Morgan Stanley, Robert W. Baird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