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wk-earnings-predictions--2026-07-29"/>
    <w:p>
      <w:pPr>
        <w:pStyle w:val="Heading1"/>
      </w:pPr>
      <w:r>
        <w:t xml:space="preserve">SWK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~$1.25 vs. cons $1.21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~$3.96B vs. cons $3.962B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growth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~2.0% vs. cons 2.19%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(FY2026)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midpoint ~$5.30 vs. cons $5.37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Organic growth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~2.0% vs. cons 1.79%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Free cash flow (FY2026)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midpoint ~$600M vs. cons $729M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(Q3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~$1.65 vs. cons $1.65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-5.0%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(STABILIZE)</w:t>
            </w:r>
          </w:p>
        </w:tc>
        <w:tc>
          <w:tcPr/>
          <w:p>
            <w:pPr>
              <w:pStyle w:val="Compact"/>
            </w:pPr>
            <w:r>
              <w:t xml:space="preserve">STABILIZE — initial Archetype C selloff partially recovers, but FY-maintain math limits follow-through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2026-07-31T21:34:46Z</dcterms:created>
  <dcterms:modified xsi:type="dcterms:W3CDTF">2026-07-31T21:34:46Z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