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Stanley Black &amp; Decker (SWK)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Stanley Black &amp; Decker, Inc.</w:t>
            </w:r>
          </w:p>
        </w:tc>
      </w:tr>
      <w:tr>
        <w:tc>
          <w:tcPr>
            <w:tcW w:type="dxa" w:w="4320"/>
          </w:tcPr>
          <w:p>
            <w:r>
              <w:rPr>
                <w:rFonts w:ascii="Calibri" w:hAnsi="Calibri"/>
                <w:b/>
                <w:sz w:val="22"/>
              </w:rPr>
              <w:t>Ticker</w:t>
            </w:r>
          </w:p>
        </w:tc>
        <w:tc>
          <w:tcPr>
            <w:tcW w:type="dxa" w:w="4320"/>
          </w:tcPr>
          <w:p>
            <w:r>
              <w:rPr>
                <w:rFonts w:ascii="Calibri" w:hAnsi="Calibri"/>
                <w:sz w:val="22"/>
              </w:rPr>
              <w:t>SWK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8:00 AM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manageable bar (~$1.21 adj. EPS vs. company guidance midpoint of $1.20), organic revenue is expected to inflect positive for the first time in several quarters, and the biggest swing factor is whether the ~300 bps of guided gross margin expansion materializes on schedule.</w:t>
      </w:r>
    </w:p>
    <w:p>
      <w:r>
        <w:rPr>
          <w:rFonts w:ascii="Calibri" w:hAnsi="Calibri"/>
          <w:color w:val="525866"/>
          <w:sz w:val="22"/>
        </w:rPr>
        <w:t xml:space="preserve">Heading into Q2 2026, Stanley Black &amp; Decker faces a consensus bar that is broadly in line with company guidance — adjusted EPS consensus of ~$1.21 sits near the midpoint of management's $1.15–$1.25 guided range, leaving limited room for a large beat but also a low risk of a miss if execution holds. Management guided to ~$3.9B in net sales (down slightly year-over-year due to the April 6 CAM divestiture, but up low-single-digits organically), and the key margin story is a guided ~300 bps year-over-year improvement in adjusted gross margin, driven roughly equally by pricing, tariff mitigation, and productivity — the first meaningful step toward the 35%+ target by Q4 2026. </w:t>
      </w:r>
      <w:r>
        <w:rPr>
          <w:rFonts w:ascii="Calibri" w:hAnsi="Calibri"/>
          <w:b/>
          <w:color w:val="525866"/>
          <w:sz w:val="22"/>
        </w:rPr>
        <w:t>Estimate revisions have been stable-to-slightly-positive since the Q1 print</w:t>
      </w:r>
      <w:r>
        <w:rPr>
          <w:rFonts w:ascii="Calibri" w:hAnsi="Calibri"/>
          <w:color w:val="525866"/>
          <w:sz w:val="22"/>
        </w:rPr>
        <w:t xml:space="preserve"> (consensus adj. EPS for Q2 moved from ~$1.20 to ~$1.21), suggesting the Street is not aggressively front-running upside. The stock has rallied ~24% since the April 29 earnings date (from ~$75.89 to ~$94.19), meaningfully outperforming XLI (+7%) and the S&amp;P 500 (+4%), which means some of the transformation narrative is already priced in. The primary wildcard is the tariff/inflation offset dynamic: management flagged that near-term tariff tailwinds (lower Section 122 rates) are being roughly offset by new inflationary pressures in battery metals, tungsten, and oil derivatives — any deterioration in that balance, or a delay in USMCA qualification progress, could pressure the gross margin bridge and reset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adj. EPS and revenue are both near the midpoint of company guidance. The bigger swing factor is </w:t>
      </w:r>
      <w:r>
        <w:rPr>
          <w:rFonts w:ascii="Calibri" w:hAnsi="Calibri"/>
          <w:b/>
          <w:color w:val="525866"/>
          <w:sz w:val="22"/>
        </w:rPr>
        <w:t>adjusted gross margin</w:t>
      </w:r>
      <w:r>
        <w:rPr>
          <w:rFonts w:ascii="Calibri" w:hAnsi="Calibri"/>
          <w:color w:val="525866"/>
          <w:sz w:val="22"/>
        </w:rPr>
        <w:t>: a guided ~300 bps year-over-year improvement is the most watched metric and the one most likely to drive the stock on results day.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 EPS (Diluted - Operating)</w:t>
            </w:r>
          </w:p>
        </w:tc>
        <w:tc>
          <w:tcPr>
            <w:tcW w:type="dxa" w:w="1234"/>
          </w:tcPr>
          <w:p>
            <w:r>
              <w:rPr>
                <w:rFonts w:ascii="Calibri" w:hAnsi="Calibri"/>
                <w:sz w:val="22"/>
              </w:rPr>
              <w:t>$0.80</w:t>
            </w:r>
          </w:p>
        </w:tc>
        <w:tc>
          <w:tcPr>
            <w:tcW w:type="dxa" w:w="1234"/>
          </w:tcPr>
          <w:p>
            <w:r>
              <w:rPr>
                <w:rFonts w:ascii="Calibri" w:hAnsi="Calibri"/>
                <w:sz w:val="22"/>
              </w:rPr>
              <w:t>$1.08</w:t>
            </w:r>
          </w:p>
        </w:tc>
        <w:tc>
          <w:tcPr>
            <w:tcW w:type="dxa" w:w="1234"/>
          </w:tcPr>
          <w:p>
            <w:r>
              <w:rPr>
                <w:rFonts w:ascii="Calibri" w:hAnsi="Calibri"/>
                <w:sz w:val="22"/>
              </w:rPr>
              <w:t>$1.21</w:t>
            </w:r>
          </w:p>
        </w:tc>
        <w:tc>
          <w:tcPr>
            <w:tcW w:type="dxa" w:w="1234"/>
          </w:tcPr>
          <w:p>
            <w:r>
              <w:rPr>
                <w:rFonts w:ascii="Calibri" w:hAnsi="Calibri"/>
                <w:sz w:val="22"/>
              </w:rPr>
              <w:t>+12.0% YoY</w:t>
            </w:r>
          </w:p>
        </w:tc>
        <w:tc>
          <w:tcPr>
            <w:tcW w:type="dxa" w:w="1234"/>
          </w:tcPr>
          <w:p>
            <w:r>
              <w:rPr>
                <w:rFonts w:ascii="Calibri" w:hAnsi="Calibri"/>
                <w:sz w:val="22"/>
              </w:rPr>
              <w:t>$1.15–$1.25 ($1.20 mid)</w:t>
            </w:r>
          </w:p>
        </w:tc>
        <w:tc>
          <w:tcPr>
            <w:tcW w:type="dxa" w:w="1234"/>
          </w:tcPr>
          <w:p>
            <w:r>
              <w:rPr>
                <w:rFonts w:ascii="Calibri" w:hAnsi="Calibri"/>
                <w:sz w:val="22"/>
              </w:rPr>
              <w:t>+0.8% vs. mid</w:t>
            </w:r>
          </w:p>
        </w:tc>
      </w:tr>
      <w:tr>
        <w:tc>
          <w:tcPr>
            <w:tcW w:type="dxa" w:w="1234"/>
          </w:tcPr>
          <w:p>
            <w:r>
              <w:rPr>
                <w:rFonts w:ascii="Calibri" w:hAnsi="Calibri"/>
                <w:sz w:val="22"/>
              </w:rPr>
              <w:t>Net Sales</w:t>
            </w:r>
          </w:p>
        </w:tc>
        <w:tc>
          <w:tcPr>
            <w:tcW w:type="dxa" w:w="1234"/>
          </w:tcPr>
          <w:p>
            <w:r>
              <w:rPr>
                <w:rFonts w:ascii="Calibri" w:hAnsi="Calibri"/>
                <w:sz w:val="22"/>
              </w:rPr>
              <w:t>$3.85B</w:t>
            </w:r>
          </w:p>
        </w:tc>
        <w:tc>
          <w:tcPr>
            <w:tcW w:type="dxa" w:w="1234"/>
          </w:tcPr>
          <w:p>
            <w:r>
              <w:rPr>
                <w:rFonts w:ascii="Calibri" w:hAnsi="Calibri"/>
                <w:sz w:val="22"/>
              </w:rPr>
              <w:t>$3.95B</w:t>
            </w:r>
          </w:p>
        </w:tc>
        <w:tc>
          <w:tcPr>
            <w:tcW w:type="dxa" w:w="1234"/>
          </w:tcPr>
          <w:p>
            <w:r>
              <w:rPr>
                <w:rFonts w:ascii="Calibri" w:hAnsi="Calibri"/>
                <w:sz w:val="22"/>
              </w:rPr>
              <w:t>$3.96B</w:t>
            </w:r>
          </w:p>
        </w:tc>
        <w:tc>
          <w:tcPr>
            <w:tcW w:type="dxa" w:w="1234"/>
          </w:tcPr>
          <w:p>
            <w:r>
              <w:rPr>
                <w:rFonts w:ascii="Calibri" w:hAnsi="Calibri"/>
                <w:sz w:val="22"/>
              </w:rPr>
              <w:t>+0.3% YoY</w:t>
            </w:r>
          </w:p>
        </w:tc>
        <w:tc>
          <w:tcPr>
            <w:tcW w:type="dxa" w:w="1234"/>
          </w:tcPr>
          <w:p>
            <w:r>
              <w:rPr>
                <w:rFonts w:ascii="Calibri" w:hAnsi="Calibri"/>
                <w:sz w:val="22"/>
              </w:rPr>
              <w:t>~$3.9B</w:t>
            </w:r>
          </w:p>
        </w:tc>
        <w:tc>
          <w:tcPr>
            <w:tcW w:type="dxa" w:w="1234"/>
          </w:tcPr>
          <w:p>
            <w:r>
              <w:rPr>
                <w:rFonts w:ascii="Calibri" w:hAnsi="Calibri"/>
                <w:sz w:val="22"/>
              </w:rPr>
              <w:t>+1.6% vs. guide</w:t>
            </w:r>
          </w:p>
        </w:tc>
      </w:tr>
      <w:tr>
        <w:tc>
          <w:tcPr>
            <w:tcW w:type="dxa" w:w="1234"/>
          </w:tcPr>
          <w:p>
            <w:r>
              <w:rPr>
                <w:rFonts w:ascii="Calibri" w:hAnsi="Calibri"/>
                <w:sz w:val="22"/>
              </w:rPr>
              <w:t>Adj. Gross Margin</w:t>
            </w:r>
          </w:p>
        </w:tc>
        <w:tc>
          <w:tcPr>
            <w:tcW w:type="dxa" w:w="1234"/>
          </w:tcPr>
          <w:p>
            <w:r>
              <w:rPr>
                <w:rFonts w:ascii="Calibri" w:hAnsi="Calibri"/>
                <w:sz w:val="22"/>
              </w:rPr>
              <w:t>30.2%</w:t>
            </w:r>
          </w:p>
        </w:tc>
        <w:tc>
          <w:tcPr>
            <w:tcW w:type="dxa" w:w="1234"/>
          </w:tcPr>
          <w:p>
            <w:r>
              <w:rPr>
                <w:rFonts w:ascii="Calibri" w:hAnsi="Calibri"/>
                <w:sz w:val="22"/>
              </w:rPr>
              <w:t>27.5%</w:t>
            </w:r>
          </w:p>
        </w:tc>
        <w:tc>
          <w:tcPr>
            <w:tcW w:type="dxa" w:w="1234"/>
          </w:tcPr>
          <w:p>
            <w:r>
              <w:rPr>
                <w:rFonts w:ascii="Calibri" w:hAnsi="Calibri"/>
                <w:sz w:val="22"/>
              </w:rPr>
              <w:t>30.6%</w:t>
            </w:r>
          </w:p>
        </w:tc>
        <w:tc>
          <w:tcPr>
            <w:tcW w:type="dxa" w:w="1234"/>
          </w:tcPr>
          <w:p>
            <w:r>
              <w:rPr>
                <w:rFonts w:ascii="Calibri" w:hAnsi="Calibri"/>
                <w:sz w:val="22"/>
              </w:rPr>
              <w:t>+310 bps YoY</w:t>
            </w:r>
          </w:p>
        </w:tc>
        <w:tc>
          <w:tcPr>
            <w:tcW w:type="dxa" w:w="1234"/>
          </w:tcPr>
          <w:p>
            <w:r>
              <w:rPr>
                <w:rFonts w:ascii="Calibri" w:hAnsi="Calibri"/>
                <w:sz w:val="22"/>
              </w:rPr>
              <w:t>~300 bps YoY improvement</w:t>
            </w:r>
          </w:p>
        </w:tc>
        <w:tc>
          <w:tcPr>
            <w:tcW w:type="dxa" w:w="1234"/>
          </w:tcPr>
          <w:p>
            <w:r>
              <w:rPr>
                <w:rFonts w:ascii="Calibri" w:hAnsi="Calibri"/>
                <w:sz w:val="22"/>
              </w:rPr>
              <w:t>~+10 bps vs. guide</w:t>
            </w:r>
          </w:p>
        </w:tc>
      </w:tr>
      <w:tr>
        <w:tc>
          <w:tcPr>
            <w:tcW w:type="dxa" w:w="1234"/>
          </w:tcPr>
          <w:p>
            <w:r>
              <w:rPr>
                <w:rFonts w:ascii="Calibri" w:hAnsi="Calibri"/>
                <w:sz w:val="22"/>
              </w:rPr>
              <w:t>Organic Revenue Growth</w:t>
            </w:r>
          </w:p>
        </w:tc>
        <w:tc>
          <w:tcPr>
            <w:tcW w:type="dxa" w:w="1234"/>
          </w:tcPr>
          <w:p>
            <w:r>
              <w:rPr>
                <w:rFonts w:ascii="Calibri" w:hAnsi="Calibri"/>
                <w:sz w:val="22"/>
              </w:rPr>
              <w:t>0.0% (flat)</w:t>
            </w:r>
          </w:p>
        </w:tc>
        <w:tc>
          <w:tcPr>
            <w:tcW w:type="dxa" w:w="1234"/>
          </w:tcPr>
          <w:p>
            <w:r>
              <w:rPr>
                <w:rFonts w:ascii="Calibri" w:hAnsi="Calibri"/>
                <w:sz w:val="22"/>
              </w:rPr>
              <w:t>-2.8%</w:t>
            </w:r>
          </w:p>
        </w:tc>
        <w:tc>
          <w:tcPr>
            <w:tcW w:type="dxa" w:w="1234"/>
          </w:tcPr>
          <w:p>
            <w:r>
              <w:rPr>
                <w:rFonts w:ascii="Calibri" w:hAnsi="Calibri"/>
                <w:sz w:val="22"/>
              </w:rPr>
              <w:t>+2.2%</w:t>
            </w:r>
          </w:p>
        </w:tc>
        <w:tc>
          <w:tcPr>
            <w:tcW w:type="dxa" w:w="1234"/>
          </w:tcPr>
          <w:p>
            <w:r>
              <w:rPr>
                <w:rFonts w:ascii="Calibri" w:hAnsi="Calibri"/>
                <w:sz w:val="22"/>
              </w:rPr>
              <w:t>Inflection to positive</w:t>
            </w:r>
          </w:p>
        </w:tc>
        <w:tc>
          <w:tcPr>
            <w:tcW w:type="dxa" w:w="1234"/>
          </w:tcPr>
          <w:p>
            <w:r>
              <w:rPr>
                <w:rFonts w:ascii="Calibri" w:hAnsi="Calibri"/>
                <w:sz w:val="22"/>
              </w:rPr>
              <w:t>Low single-digit positive</w:t>
            </w:r>
          </w:p>
        </w:tc>
        <w:tc>
          <w:tcPr>
            <w:tcW w:type="dxa" w:w="1234"/>
          </w:tcPr>
          <w:p>
            <w:r>
              <w:rPr>
                <w:rFonts w:ascii="Calibri" w:hAnsi="Calibri"/>
                <w:sz w:val="22"/>
              </w:rPr>
              <w:t>In line</w:t>
            </w:r>
          </w:p>
        </w:tc>
      </w:tr>
      <w:tr>
        <w:tc>
          <w:tcPr>
            <w:tcW w:type="dxa" w:w="1234"/>
          </w:tcPr>
          <w:p>
            <w:r>
              <w:rPr>
                <w:rFonts w:ascii="Calibri" w:hAnsi="Calibri"/>
                <w:sz w:val="22"/>
              </w:rPr>
              <w:t>Free Cash Flow</w:t>
            </w:r>
          </w:p>
        </w:tc>
        <w:tc>
          <w:tcPr>
            <w:tcW w:type="dxa" w:w="1234"/>
          </w:tcPr>
          <w:p>
            <w:r>
              <w:rPr>
                <w:rFonts w:ascii="Calibri" w:hAnsi="Calibri"/>
                <w:sz w:val="22"/>
              </w:rPr>
              <w:t>-$447M (seasonal)</w:t>
            </w:r>
          </w:p>
        </w:tc>
        <w:tc>
          <w:tcPr>
            <w:tcW w:type="dxa" w:w="1234"/>
          </w:tcPr>
          <w:p>
            <w:r>
              <w:rPr>
                <w:rFonts w:ascii="Calibri" w:hAnsi="Calibri"/>
                <w:sz w:val="22"/>
              </w:rPr>
              <w:t>$135M</w:t>
            </w:r>
          </w:p>
        </w:tc>
        <w:tc>
          <w:tcPr>
            <w:tcW w:type="dxa" w:w="1234"/>
          </w:tcPr>
          <w:p>
            <w:r>
              <w:rPr>
                <w:rFonts w:ascii="Calibri" w:hAnsi="Calibri"/>
                <w:sz w:val="22"/>
              </w:rPr>
              <w:t>$420M</w:t>
            </w:r>
          </w:p>
        </w:tc>
        <w:tc>
          <w:tcPr>
            <w:tcW w:type="dxa" w:w="1234"/>
          </w:tcPr>
          <w:p>
            <w:r>
              <w:rPr>
                <w:rFonts w:ascii="Calibri" w:hAnsi="Calibri"/>
                <w:sz w:val="22"/>
              </w:rPr>
              <w:t>+$285M YoY</w:t>
            </w:r>
          </w:p>
        </w:tc>
        <w:tc>
          <w:tcPr>
            <w:tcW w:type="dxa" w:w="1234"/>
          </w:tcPr>
          <w:p>
            <w:r>
              <w:rPr>
                <w:rFonts w:ascii="Calibri" w:hAnsi="Calibri"/>
                <w:sz w:val="22"/>
              </w:rPr>
              <w:t>FY: $500–$700M (incl. CAM taxes)</w:t>
            </w:r>
          </w:p>
        </w:tc>
        <w:tc>
          <w:tcPr>
            <w:tcW w:type="dxa" w:w="1234"/>
          </w:tcPr>
          <w:p>
            <w:r>
              <w:rPr>
                <w:rFonts w:ascii="Calibri" w:hAnsi="Calibri"/>
                <w:sz w:val="22"/>
              </w:rPr>
              <w:t>N/A (quarterly)</w:t>
            </w:r>
          </w:p>
        </w:tc>
      </w:tr>
    </w:tbl>
    <w:p>
      <w:r>
        <w:rPr>
          <w:rFonts w:ascii="Calibri" w:hAnsi="Calibri"/>
          <w:i/>
          <w:color w:val="525866"/>
          <w:sz w:val="22"/>
        </w:rPr>
        <w:t>Sources: Visible Alpha Consensus and Actuals Data (EPS-Diluted - Operating, Net Sales, Gross Margin - Operating, Organic Growth, Free Cash Flow); SWK Q1 2026 Earnings Release and Transcript (Q2 2026 guidance). All consensus figures as of July 28, 2026.</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Adj.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$0.80</w:t>
            </w:r>
          </w:p>
        </w:tc>
        <w:tc>
          <w:tcPr>
            <w:tcW w:type="dxa" w:w="1728"/>
          </w:tcPr>
          <w:p>
            <w:r>
              <w:rPr>
                <w:rFonts w:ascii="Calibri" w:hAnsi="Calibri"/>
                <w:sz w:val="22"/>
              </w:rPr>
              <w:t>$0.63</w:t>
            </w:r>
          </w:p>
        </w:tc>
        <w:tc>
          <w:tcPr>
            <w:tcW w:type="dxa" w:w="1728"/>
          </w:tcPr>
          <w:p>
            <w:r>
              <w:rPr>
                <w:rFonts w:ascii="Calibri" w:hAnsi="Calibri"/>
                <w:b/>
                <w:color w:val="30A46C"/>
                <w:sz w:val="22"/>
              </w:rPr>
              <w:t>+27.0%</w:t>
            </w:r>
          </w:p>
        </w:tc>
        <w:tc>
          <w:tcPr>
            <w:tcW w:type="dxa" w:w="1728"/>
          </w:tcPr>
          <w:p>
            <w:r>
              <w:rPr>
                <w:rFonts w:ascii="Calibri" w:hAnsi="Calibri"/>
                <w:sz w:val="22"/>
              </w:rPr>
              <w:t>Large Beat</w:t>
            </w:r>
          </w:p>
        </w:tc>
      </w:tr>
      <w:tr>
        <w:tc>
          <w:tcPr>
            <w:tcW w:type="dxa" w:w="1728"/>
          </w:tcPr>
          <w:p>
            <w:r>
              <w:rPr>
                <w:rFonts w:ascii="Calibri" w:hAnsi="Calibri"/>
                <w:sz w:val="22"/>
              </w:rPr>
              <w:t>Q4 2025</w:t>
            </w:r>
          </w:p>
        </w:tc>
        <w:tc>
          <w:tcPr>
            <w:tcW w:type="dxa" w:w="1728"/>
          </w:tcPr>
          <w:p>
            <w:r>
              <w:rPr>
                <w:rFonts w:ascii="Calibri" w:hAnsi="Calibri"/>
                <w:sz w:val="22"/>
              </w:rPr>
              <w:t>$1.41</w:t>
            </w:r>
          </w:p>
        </w:tc>
        <w:tc>
          <w:tcPr>
            <w:tcW w:type="dxa" w:w="1728"/>
          </w:tcPr>
          <w:p>
            <w:r>
              <w:rPr>
                <w:rFonts w:ascii="Calibri" w:hAnsi="Calibri"/>
                <w:sz w:val="22"/>
              </w:rPr>
              <w:t>$1.28</w:t>
            </w:r>
          </w:p>
        </w:tc>
        <w:tc>
          <w:tcPr>
            <w:tcW w:type="dxa" w:w="1728"/>
          </w:tcPr>
          <w:p>
            <w:r>
              <w:rPr>
                <w:rFonts w:ascii="Calibri" w:hAnsi="Calibri"/>
                <w:b/>
                <w:color w:val="30A46C"/>
                <w:sz w:val="22"/>
              </w:rPr>
              <w:t>+10.2%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$1.43</w:t>
            </w:r>
          </w:p>
        </w:tc>
        <w:tc>
          <w:tcPr>
            <w:tcW w:type="dxa" w:w="1728"/>
          </w:tcPr>
          <w:p>
            <w:r>
              <w:rPr>
                <w:rFonts w:ascii="Calibri" w:hAnsi="Calibri"/>
                <w:sz w:val="22"/>
              </w:rPr>
              <w:t>$1.20</w:t>
            </w:r>
          </w:p>
        </w:tc>
        <w:tc>
          <w:tcPr>
            <w:tcW w:type="dxa" w:w="1728"/>
          </w:tcPr>
          <w:p>
            <w:r>
              <w:rPr>
                <w:rFonts w:ascii="Calibri" w:hAnsi="Calibri"/>
                <w:b/>
                <w:color w:val="30A46C"/>
                <w:sz w:val="22"/>
              </w:rPr>
              <w:t>+19.2%</w:t>
            </w:r>
          </w:p>
        </w:tc>
        <w:tc>
          <w:tcPr>
            <w:tcW w:type="dxa" w:w="1728"/>
          </w:tcPr>
          <w:p>
            <w:r>
              <w:rPr>
                <w:rFonts w:ascii="Calibri" w:hAnsi="Calibri"/>
                <w:sz w:val="22"/>
              </w:rPr>
              <w:t>Large Beat</w:t>
            </w:r>
          </w:p>
        </w:tc>
      </w:tr>
      <w:tr>
        <w:tc>
          <w:tcPr>
            <w:tcW w:type="dxa" w:w="1728"/>
          </w:tcPr>
          <w:p>
            <w:r>
              <w:rPr>
                <w:rFonts w:ascii="Calibri" w:hAnsi="Calibri"/>
                <w:sz w:val="22"/>
              </w:rPr>
              <w:t>Q2 2025</w:t>
            </w:r>
          </w:p>
        </w:tc>
        <w:tc>
          <w:tcPr>
            <w:tcW w:type="dxa" w:w="1728"/>
          </w:tcPr>
          <w:p>
            <w:r>
              <w:rPr>
                <w:rFonts w:ascii="Calibri" w:hAnsi="Calibri"/>
                <w:sz w:val="22"/>
              </w:rPr>
              <w:t>$1.08</w:t>
            </w:r>
          </w:p>
        </w:tc>
        <w:tc>
          <w:tcPr>
            <w:tcW w:type="dxa" w:w="1728"/>
          </w:tcPr>
          <w:p>
            <w:r>
              <w:rPr>
                <w:rFonts w:ascii="Calibri" w:hAnsi="Calibri"/>
                <w:sz w:val="22"/>
              </w:rPr>
              <w:t>$0.46</w:t>
            </w:r>
          </w:p>
        </w:tc>
        <w:tc>
          <w:tcPr>
            <w:tcW w:type="dxa" w:w="1728"/>
          </w:tcPr>
          <w:p>
            <w:r>
              <w:rPr>
                <w:rFonts w:ascii="Calibri" w:hAnsi="Calibri"/>
                <w:b/>
                <w:color w:val="30A46C"/>
                <w:sz w:val="22"/>
              </w:rPr>
              <w:t>+134.8%</w:t>
            </w:r>
          </w:p>
        </w:tc>
        <w:tc>
          <w:tcPr>
            <w:tcW w:type="dxa" w:w="1728"/>
          </w:tcPr>
          <w:p>
            <w:r>
              <w:rPr>
                <w:rFonts w:ascii="Calibri" w:hAnsi="Calibri"/>
                <w:sz w:val="22"/>
              </w:rPr>
              <w:t>Massive Beat</w:t>
            </w:r>
          </w:p>
        </w:tc>
      </w:tr>
      <w:tr>
        <w:tc>
          <w:tcPr>
            <w:tcW w:type="dxa" w:w="1728"/>
          </w:tcPr>
          <w:p>
            <w:r>
              <w:rPr>
                <w:rFonts w:ascii="Calibri" w:hAnsi="Calibri"/>
                <w:sz w:val="22"/>
              </w:rPr>
              <w:t>Q1 2025</w:t>
            </w:r>
          </w:p>
        </w:tc>
        <w:tc>
          <w:tcPr>
            <w:tcW w:type="dxa" w:w="1728"/>
          </w:tcPr>
          <w:p>
            <w:r>
              <w:rPr>
                <w:rFonts w:ascii="Calibri" w:hAnsi="Calibri"/>
                <w:sz w:val="22"/>
              </w:rPr>
              <w:t>$0.75</w:t>
            </w:r>
          </w:p>
        </w:tc>
        <w:tc>
          <w:tcPr>
            <w:tcW w:type="dxa" w:w="1728"/>
          </w:tcPr>
          <w:p>
            <w:r>
              <w:rPr>
                <w:rFonts w:ascii="Calibri" w:hAnsi="Calibri"/>
                <w:sz w:val="22"/>
              </w:rPr>
              <w:t>$0.64</w:t>
            </w:r>
          </w:p>
        </w:tc>
        <w:tc>
          <w:tcPr>
            <w:tcW w:type="dxa" w:w="1728"/>
          </w:tcPr>
          <w:p>
            <w:r>
              <w:rPr>
                <w:rFonts w:ascii="Calibri" w:hAnsi="Calibri"/>
                <w:b/>
                <w:color w:val="30A46C"/>
                <w:sz w:val="22"/>
              </w:rPr>
              <w:t>+17.2%</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$1.49</w:t>
            </w:r>
          </w:p>
        </w:tc>
        <w:tc>
          <w:tcPr>
            <w:tcW w:type="dxa" w:w="1728"/>
          </w:tcPr>
          <w:p>
            <w:r>
              <w:rPr>
                <w:rFonts w:ascii="Calibri" w:hAnsi="Calibri"/>
                <w:sz w:val="22"/>
              </w:rPr>
              <w:t>$1.27</w:t>
            </w:r>
          </w:p>
        </w:tc>
        <w:tc>
          <w:tcPr>
            <w:tcW w:type="dxa" w:w="1728"/>
          </w:tcPr>
          <w:p>
            <w:r>
              <w:rPr>
                <w:rFonts w:ascii="Calibri" w:hAnsi="Calibri"/>
                <w:b/>
                <w:color w:val="30A46C"/>
                <w:sz w:val="22"/>
              </w:rPr>
              <w:t>+17.3%</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$1.22</w:t>
            </w:r>
          </w:p>
        </w:tc>
        <w:tc>
          <w:tcPr>
            <w:tcW w:type="dxa" w:w="1728"/>
          </w:tcPr>
          <w:p>
            <w:r>
              <w:rPr>
                <w:rFonts w:ascii="Calibri" w:hAnsi="Calibri"/>
                <w:sz w:val="22"/>
              </w:rPr>
              <w:t>$1.06</w:t>
            </w:r>
          </w:p>
        </w:tc>
        <w:tc>
          <w:tcPr>
            <w:tcW w:type="dxa" w:w="1728"/>
          </w:tcPr>
          <w:p>
            <w:r>
              <w:rPr>
                <w:rFonts w:ascii="Calibri" w:hAnsi="Calibri"/>
                <w:b/>
                <w:color w:val="30A46C"/>
                <w:sz w:val="22"/>
              </w:rPr>
              <w:t>+15.1%</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$3.85B</w:t>
            </w:r>
          </w:p>
        </w:tc>
        <w:tc>
          <w:tcPr>
            <w:tcW w:type="dxa" w:w="1728"/>
          </w:tcPr>
          <w:p>
            <w:r>
              <w:rPr>
                <w:rFonts w:ascii="Calibri" w:hAnsi="Calibri"/>
                <w:sz w:val="22"/>
              </w:rPr>
              <w:t>$3.75B</w:t>
            </w:r>
          </w:p>
        </w:tc>
        <w:tc>
          <w:tcPr>
            <w:tcW w:type="dxa" w:w="1728"/>
          </w:tcPr>
          <w:p>
            <w:r>
              <w:rPr>
                <w:rFonts w:ascii="Calibri" w:hAnsi="Calibri"/>
                <w:b/>
                <w:color w:val="30A46C"/>
                <w:sz w:val="22"/>
              </w:rPr>
              <w:t>+2.7%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$3.68B</w:t>
            </w:r>
          </w:p>
        </w:tc>
        <w:tc>
          <w:tcPr>
            <w:tcW w:type="dxa" w:w="1728"/>
          </w:tcPr>
          <w:p>
            <w:r>
              <w:rPr>
                <w:rFonts w:ascii="Calibri" w:hAnsi="Calibri"/>
                <w:sz w:val="22"/>
              </w:rPr>
              <w:t>$3.77B</w:t>
            </w:r>
          </w:p>
        </w:tc>
        <w:tc>
          <w:tcPr>
            <w:tcW w:type="dxa" w:w="1728"/>
          </w:tcPr>
          <w:p>
            <w:r>
              <w:rPr>
                <w:rFonts w:ascii="Calibri" w:hAnsi="Calibri"/>
                <w:b/>
                <w:color w:val="E5484D"/>
                <w:sz w:val="22"/>
              </w:rPr>
              <w:t>-2.4%</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$3.76B</w:t>
            </w:r>
          </w:p>
        </w:tc>
        <w:tc>
          <w:tcPr>
            <w:tcW w:type="dxa" w:w="1728"/>
          </w:tcPr>
          <w:p>
            <w:r>
              <w:rPr>
                <w:rFonts w:ascii="Calibri" w:hAnsi="Calibri"/>
                <w:sz w:val="22"/>
              </w:rPr>
              <w:t>$3.77B</w:t>
            </w:r>
          </w:p>
        </w:tc>
        <w:tc>
          <w:tcPr>
            <w:tcW w:type="dxa" w:w="1728"/>
          </w:tcPr>
          <w:p>
            <w:r>
              <w:rPr>
                <w:rFonts w:ascii="Calibri" w:hAnsi="Calibri"/>
                <w:sz w:val="22"/>
              </w:rPr>
              <w:t>-0.3%</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$3.95B</w:t>
            </w:r>
          </w:p>
        </w:tc>
        <w:tc>
          <w:tcPr>
            <w:tcW w:type="dxa" w:w="1728"/>
          </w:tcPr>
          <w:p>
            <w:r>
              <w:rPr>
                <w:rFonts w:ascii="Calibri" w:hAnsi="Calibri"/>
                <w:sz w:val="22"/>
              </w:rPr>
              <w:t>$4.01B</w:t>
            </w:r>
          </w:p>
        </w:tc>
        <w:tc>
          <w:tcPr>
            <w:tcW w:type="dxa" w:w="1728"/>
          </w:tcPr>
          <w:p>
            <w:r>
              <w:rPr>
                <w:rFonts w:ascii="Calibri" w:hAnsi="Calibri"/>
                <w:b/>
                <w:color w:val="E5484D"/>
                <w:sz w:val="22"/>
              </w:rPr>
              <w:t>-1.5%</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$3.74B</w:t>
            </w:r>
          </w:p>
        </w:tc>
        <w:tc>
          <w:tcPr>
            <w:tcW w:type="dxa" w:w="1728"/>
          </w:tcPr>
          <w:p>
            <w:r>
              <w:rPr>
                <w:rFonts w:ascii="Calibri" w:hAnsi="Calibri"/>
                <w:sz w:val="22"/>
              </w:rPr>
              <w:t>$3.67B</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$3.72B</w:t>
            </w:r>
          </w:p>
        </w:tc>
        <w:tc>
          <w:tcPr>
            <w:tcW w:type="dxa" w:w="1728"/>
          </w:tcPr>
          <w:p>
            <w:r>
              <w:rPr>
                <w:rFonts w:ascii="Calibri" w:hAnsi="Calibri"/>
                <w:sz w:val="22"/>
              </w:rPr>
              <w:t>$3.58B</w:t>
            </w:r>
          </w:p>
        </w:tc>
        <w:tc>
          <w:tcPr>
            <w:tcW w:type="dxa" w:w="1728"/>
          </w:tcPr>
          <w:p>
            <w:r>
              <w:rPr>
                <w:rFonts w:ascii="Calibri" w:hAnsi="Calibri"/>
                <w:b/>
                <w:color w:val="30A46C"/>
                <w:sz w:val="22"/>
              </w:rPr>
              <w:t>+3.9%</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$3.75B</w:t>
            </w:r>
          </w:p>
        </w:tc>
        <w:tc>
          <w:tcPr>
            <w:tcW w:type="dxa" w:w="1728"/>
          </w:tcPr>
          <w:p>
            <w:r>
              <w:rPr>
                <w:rFonts w:ascii="Calibri" w:hAnsi="Calibri"/>
                <w:sz w:val="22"/>
              </w:rPr>
              <w:t>$3.80B</w:t>
            </w:r>
          </w:p>
        </w:tc>
        <w:tc>
          <w:tcPr>
            <w:tcW w:type="dxa" w:w="1728"/>
          </w:tcPr>
          <w:p>
            <w:r>
              <w:rPr>
                <w:rFonts w:ascii="Calibri" w:hAnsi="Calibri"/>
                <w:b/>
                <w:color w:val="E5484D"/>
                <w:sz w:val="22"/>
              </w:rPr>
              <w:t>-1.3%</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SWK has beaten adj. EPS consensus in every quarter with available data over the trailing 7 quarters, often by a wide margin — the Street has consistently underestimated the company's ability to deliver below-the-line outperformance (favorable tax timing, lower interest expense). Revenue has been more mixed, with 3 misses in the last 7 quarters, reflecting persistent volume headwinds in North American retail. The Q2 2025 EPS "beat" was distorted by an extremely low consensus bar; the more relevant comparison is the Q1 2026 beat of ~27%, which included ~$0.10 of below-the-line items.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April 29 Q1 2026 earnings call</w:t>
      </w:r>
      <w:r>
        <w:rPr>
          <w:rFonts w:ascii="Calibri" w:hAnsi="Calibri"/>
          <w:color w:val="525866"/>
          <w:sz w:val="22"/>
        </w:rPr>
        <w:t xml:space="preserve"> — no post-earnings 8-K, conference, or investor day has revised the numbers. Management tone remains confident, with the CAM divestiture complete and the company firmly on its stated path to 35%+ gross margins by Q4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w:t>
            </w:r>
          </w:p>
        </w:tc>
        <w:tc>
          <w:tcPr>
            <w:tcW w:type="dxa" w:w="1728"/>
          </w:tcPr>
          <w:p>
            <w:r>
              <w:rPr>
                <w:rFonts w:ascii="Calibri" w:hAnsi="Calibri"/>
                <w:sz w:val="22"/>
              </w:rPr>
              <w:t>$1.15–$1.25</w:t>
            </w:r>
          </w:p>
        </w:tc>
        <w:tc>
          <w:tcPr>
            <w:tcW w:type="dxa" w:w="1728"/>
          </w:tcPr>
          <w:p>
            <w:r>
              <w:rPr>
                <w:rFonts w:ascii="Calibri" w:hAnsi="Calibri"/>
                <w:sz w:val="22"/>
              </w:rPr>
              <w:t>—</w:t>
            </w:r>
          </w:p>
        </w:tc>
        <w:tc>
          <w:tcPr>
            <w:tcW w:type="dxa" w:w="1728"/>
          </w:tcPr>
          <w:p>
            <w:r>
              <w:rPr>
                <w:rFonts w:ascii="Calibri" w:hAnsi="Calibri"/>
                <w:sz w:val="22"/>
              </w:rPr>
              <w:t>$1.21</w:t>
            </w:r>
          </w:p>
        </w:tc>
        <w:tc>
          <w:tcPr>
            <w:tcW w:type="dxa" w:w="1728"/>
          </w:tcPr>
          <w:p>
            <w:r>
              <w:rPr>
                <w:rFonts w:ascii="Calibri" w:hAnsi="Calibri"/>
                <w:sz w:val="22"/>
              </w:rPr>
              <w:t>Unchanged; consensus near midpoint</w:t>
            </w:r>
          </w:p>
        </w:tc>
      </w:tr>
      <w:tr>
        <w:tc>
          <w:tcPr>
            <w:tcW w:type="dxa" w:w="1728"/>
          </w:tcPr>
          <w:p>
            <w:r>
              <w:rPr>
                <w:rFonts w:ascii="Calibri" w:hAnsi="Calibri"/>
                <w:sz w:val="22"/>
              </w:rPr>
              <w:t>Q2 2026 Net Sales</w:t>
            </w:r>
          </w:p>
        </w:tc>
        <w:tc>
          <w:tcPr>
            <w:tcW w:type="dxa" w:w="1728"/>
          </w:tcPr>
          <w:p>
            <w:r>
              <w:rPr>
                <w:rFonts w:ascii="Calibri" w:hAnsi="Calibri"/>
                <w:sz w:val="22"/>
              </w:rPr>
              <w:t>~$3.9B (down slightly YoY; low-SD organic growth)</w:t>
            </w:r>
          </w:p>
        </w:tc>
        <w:tc>
          <w:tcPr>
            <w:tcW w:type="dxa" w:w="1728"/>
          </w:tcPr>
          <w:p>
            <w:r>
              <w:rPr>
                <w:rFonts w:ascii="Calibri" w:hAnsi="Calibri"/>
                <w:sz w:val="22"/>
              </w:rPr>
              <w:t>—</w:t>
            </w:r>
          </w:p>
        </w:tc>
        <w:tc>
          <w:tcPr>
            <w:tcW w:type="dxa" w:w="1728"/>
          </w:tcPr>
          <w:p>
            <w:r>
              <w:rPr>
                <w:rFonts w:ascii="Calibri" w:hAnsi="Calibri"/>
                <w:sz w:val="22"/>
              </w:rPr>
              <w:t>$3.96B</w:t>
            </w:r>
          </w:p>
        </w:tc>
        <w:tc>
          <w:tcPr>
            <w:tcW w:type="dxa" w:w="1728"/>
          </w:tcPr>
          <w:p>
            <w:r>
              <w:rPr>
                <w:rFonts w:ascii="Calibri" w:hAnsi="Calibri"/>
                <w:sz w:val="22"/>
              </w:rPr>
              <w:t>Consensus slightly above guide; organic inflection expected</w:t>
            </w:r>
          </w:p>
        </w:tc>
      </w:tr>
      <w:tr>
        <w:tc>
          <w:tcPr>
            <w:tcW w:type="dxa" w:w="1728"/>
          </w:tcPr>
          <w:p>
            <w:r>
              <w:rPr>
                <w:rFonts w:ascii="Calibri" w:hAnsi="Calibri"/>
                <w:sz w:val="22"/>
              </w:rPr>
              <w:t>Q2 2026 Adj. Gross Margin</w:t>
            </w:r>
          </w:p>
        </w:tc>
        <w:tc>
          <w:tcPr>
            <w:tcW w:type="dxa" w:w="1728"/>
          </w:tcPr>
          <w:p>
            <w:r>
              <w:rPr>
                <w:rFonts w:ascii="Calibri" w:hAnsi="Calibri"/>
                <w:sz w:val="22"/>
              </w:rPr>
              <w:t>~+300 bps YoY improvement</w:t>
            </w:r>
          </w:p>
        </w:tc>
        <w:tc>
          <w:tcPr>
            <w:tcW w:type="dxa" w:w="1728"/>
          </w:tcPr>
          <w:p>
            <w:r>
              <w:rPr>
                <w:rFonts w:ascii="Calibri" w:hAnsi="Calibri"/>
                <w:sz w:val="22"/>
              </w:rPr>
              <w:t>—</w:t>
            </w:r>
          </w:p>
        </w:tc>
        <w:tc>
          <w:tcPr>
            <w:tcW w:type="dxa" w:w="1728"/>
          </w:tcPr>
          <w:p>
            <w:r>
              <w:rPr>
                <w:rFonts w:ascii="Calibri" w:hAnsi="Calibri"/>
                <w:sz w:val="22"/>
              </w:rPr>
              <w:t>~30.6% (+310 bps YoY)</w:t>
            </w:r>
          </w:p>
        </w:tc>
        <w:tc>
          <w:tcPr>
            <w:tcW w:type="dxa" w:w="1728"/>
          </w:tcPr>
          <w:p>
            <w:r>
              <w:rPr>
                <w:rFonts w:ascii="Calibri" w:hAnsi="Calibri"/>
                <w:sz w:val="22"/>
              </w:rPr>
              <w:t>Consensus in line with guide; key watch item</w:t>
            </w:r>
          </w:p>
        </w:tc>
      </w:tr>
      <w:tr>
        <w:tc>
          <w:tcPr>
            <w:tcW w:type="dxa" w:w="1728"/>
          </w:tcPr>
          <w:p>
            <w:r>
              <w:rPr>
                <w:rFonts w:ascii="Calibri" w:hAnsi="Calibri"/>
                <w:sz w:val="22"/>
              </w:rPr>
              <w:t>FY 2026 Adj. EPS</w:t>
            </w:r>
          </w:p>
        </w:tc>
        <w:tc>
          <w:tcPr>
            <w:tcW w:type="dxa" w:w="1728"/>
          </w:tcPr>
          <w:p>
            <w:r>
              <w:rPr>
                <w:rFonts w:ascii="Calibri" w:hAnsi="Calibri"/>
                <w:sz w:val="22"/>
              </w:rPr>
              <w:t>$4.90–$5.70 ($5.30 mid)</w:t>
            </w:r>
          </w:p>
        </w:tc>
        <w:tc>
          <w:tcPr>
            <w:tcW w:type="dxa" w:w="1728"/>
          </w:tcPr>
          <w:p>
            <w:r>
              <w:rPr>
                <w:rFonts w:ascii="Calibri" w:hAnsi="Calibri"/>
                <w:sz w:val="22"/>
              </w:rPr>
              <w:t>—</w:t>
            </w:r>
          </w:p>
        </w:tc>
        <w:tc>
          <w:tcPr>
            <w:tcW w:type="dxa" w:w="1728"/>
          </w:tcPr>
          <w:p>
            <w:r>
              <w:rPr>
                <w:rFonts w:ascii="Calibri" w:hAnsi="Calibri"/>
                <w:sz w:val="22"/>
              </w:rPr>
              <w:t>$5.37</w:t>
            </w:r>
          </w:p>
        </w:tc>
        <w:tc>
          <w:tcPr>
            <w:tcW w:type="dxa" w:w="1728"/>
          </w:tcPr>
          <w:p>
            <w:r>
              <w:rPr>
                <w:rFonts w:ascii="Calibri" w:hAnsi="Calibri"/>
                <w:sz w:val="22"/>
              </w:rPr>
              <w:t>Consensus above midpoint; reflects Street confidence in H2 ramp</w:t>
            </w:r>
          </w:p>
        </w:tc>
      </w:tr>
      <w:tr>
        <w:tc>
          <w:tcPr>
            <w:tcW w:type="dxa" w:w="1728"/>
          </w:tcPr>
          <w:p>
            <w:r>
              <w:rPr>
                <w:rFonts w:ascii="Calibri" w:hAnsi="Calibri"/>
                <w:sz w:val="22"/>
              </w:rPr>
              <w:t>FY 2026 Net Sales</w:t>
            </w:r>
          </w:p>
        </w:tc>
        <w:tc>
          <w:tcPr>
            <w:tcW w:type="dxa" w:w="1728"/>
          </w:tcPr>
          <w:p>
            <w:r>
              <w:rPr>
                <w:rFonts w:ascii="Calibri" w:hAnsi="Calibri"/>
                <w:sz w:val="22"/>
              </w:rPr>
              <w:t>~Flat YoY (low-SD organic growth)</w:t>
            </w:r>
          </w:p>
        </w:tc>
        <w:tc>
          <w:tcPr>
            <w:tcW w:type="dxa" w:w="1728"/>
          </w:tcPr>
          <w:p>
            <w:r>
              <w:rPr>
                <w:rFonts w:ascii="Calibri" w:hAnsi="Calibri"/>
                <w:sz w:val="22"/>
              </w:rPr>
              <w:t>—</w:t>
            </w:r>
          </w:p>
        </w:tc>
        <w:tc>
          <w:tcPr>
            <w:tcW w:type="dxa" w:w="1728"/>
          </w:tcPr>
          <w:p>
            <w:r>
              <w:rPr>
                <w:rFonts w:ascii="Calibri" w:hAnsi="Calibri"/>
                <w:sz w:val="22"/>
              </w:rPr>
              <w:t>$15.15B</w:t>
            </w:r>
          </w:p>
        </w:tc>
        <w:tc>
          <w:tcPr>
            <w:tcW w:type="dxa" w:w="1728"/>
          </w:tcPr>
          <w:p>
            <w:r>
              <w:rPr>
                <w:rFonts w:ascii="Calibri" w:hAnsi="Calibri"/>
                <w:sz w:val="22"/>
              </w:rPr>
              <w:t>Consensus implies modest growth; CAM removal offsets organic gains</w:t>
            </w:r>
          </w:p>
        </w:tc>
      </w:tr>
      <w:tr>
        <w:tc>
          <w:tcPr>
            <w:tcW w:type="dxa" w:w="1728"/>
          </w:tcPr>
          <w:p>
            <w:r>
              <w:rPr>
                <w:rFonts w:ascii="Calibri" w:hAnsi="Calibri"/>
                <w:sz w:val="22"/>
              </w:rPr>
              <w:t>FY 2026 Free Cash Flow</w:t>
            </w:r>
          </w:p>
        </w:tc>
        <w:tc>
          <w:tcPr>
            <w:tcW w:type="dxa" w:w="1728"/>
          </w:tcPr>
          <w:p>
            <w:r>
              <w:rPr>
                <w:rFonts w:ascii="Calibri" w:hAnsi="Calibri"/>
                <w:sz w:val="22"/>
              </w:rPr>
              <w:t>$500–$700M (incl. CAM taxes); $700–$900M excl.</w:t>
            </w:r>
          </w:p>
        </w:tc>
        <w:tc>
          <w:tcPr>
            <w:tcW w:type="dxa" w:w="1728"/>
          </w:tcPr>
          <w:p>
            <w:r>
              <w:rPr>
                <w:rFonts w:ascii="Calibri" w:hAnsi="Calibri"/>
                <w:sz w:val="22"/>
              </w:rPr>
              <w:t>—</w:t>
            </w:r>
          </w:p>
        </w:tc>
        <w:tc>
          <w:tcPr>
            <w:tcW w:type="dxa" w:w="1728"/>
          </w:tcPr>
          <w:p>
            <w:r>
              <w:rPr>
                <w:rFonts w:ascii="Calibri" w:hAnsi="Calibri"/>
                <w:sz w:val="22"/>
              </w:rPr>
              <w:t>$729M</w:t>
            </w:r>
          </w:p>
        </w:tc>
        <w:tc>
          <w:tcPr>
            <w:tcW w:type="dxa" w:w="1728"/>
          </w:tcPr>
          <w:p>
            <w:r>
              <w:rPr>
                <w:rFonts w:ascii="Calibri" w:hAnsi="Calibri"/>
                <w:sz w:val="22"/>
              </w:rPr>
              <w:t>Consensus near top of incl.-CAM-taxes range</w:t>
            </w:r>
          </w:p>
        </w:tc>
      </w:tr>
      <w:tr>
        <w:tc>
          <w:tcPr>
            <w:tcW w:type="dxa" w:w="1728"/>
          </w:tcPr>
          <w:p>
            <w:r>
              <w:rPr>
                <w:rFonts w:ascii="Calibri" w:hAnsi="Calibri"/>
                <w:sz w:val="22"/>
              </w:rPr>
              <w:t>FY 2026 Adj. Gross Margin</w:t>
            </w:r>
          </w:p>
        </w:tc>
        <w:tc>
          <w:tcPr>
            <w:tcW w:type="dxa" w:w="1728"/>
          </w:tcPr>
          <w:p>
            <w:r>
              <w:rPr>
                <w:rFonts w:ascii="Calibri" w:hAnsi="Calibri"/>
                <w:sz w:val="22"/>
              </w:rPr>
              <w:t>+~150 bps YoY; exit rate ~34% by Q4 2026</w:t>
            </w:r>
          </w:p>
        </w:tc>
        <w:tc>
          <w:tcPr>
            <w:tcW w:type="dxa" w:w="1728"/>
          </w:tcPr>
          <w:p>
            <w:r>
              <w:rPr>
                <w:rFonts w:ascii="Calibri" w:hAnsi="Calibri"/>
                <w:sz w:val="22"/>
              </w:rPr>
              <w:t>—</w:t>
            </w:r>
          </w:p>
        </w:tc>
        <w:tc>
          <w:tcPr>
            <w:tcW w:type="dxa" w:w="1728"/>
          </w:tcPr>
          <w:p>
            <w:r>
              <w:rPr>
                <w:rFonts w:ascii="Calibri" w:hAnsi="Calibri"/>
                <w:sz w:val="22"/>
              </w:rPr>
              <w:t>~32.2% FY avg.</w:t>
            </w:r>
          </w:p>
        </w:tc>
        <w:tc>
          <w:tcPr>
            <w:tcW w:type="dxa" w:w="1728"/>
          </w:tcPr>
          <w:p>
            <w:r>
              <w:rPr>
                <w:rFonts w:ascii="Calibri" w:hAnsi="Calibri"/>
                <w:sz w:val="22"/>
              </w:rPr>
              <w:t>H2 weighted; Q4 exit rate toward 34% is the key milestone</w:t>
            </w:r>
          </w:p>
        </w:tc>
      </w:tr>
      <w:tr>
        <w:tc>
          <w:tcPr>
            <w:tcW w:type="dxa" w:w="1728"/>
          </w:tcPr>
          <w:p>
            <w:r>
              <w:rPr>
                <w:rFonts w:ascii="Calibri" w:hAnsi="Calibri"/>
                <w:sz w:val="22"/>
              </w:rPr>
              <w:t>Net Debt / Adj. EBITDA</w:t>
            </w:r>
          </w:p>
        </w:tc>
        <w:tc>
          <w:tcPr>
            <w:tcW w:type="dxa" w:w="1728"/>
          </w:tcPr>
          <w:p>
            <w:r>
              <w:rPr>
                <w:rFonts w:ascii="Calibri" w:hAnsi="Calibri"/>
                <w:sz w:val="22"/>
              </w:rPr>
              <w:t>~2.5x by year-end 2026</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CAM proceeds (~$1.57B net) applied to debt in Q2; on track</w:t>
            </w:r>
          </w:p>
        </w:tc>
      </w:tr>
    </w:tbl>
    <w:p>
      <w:r>
        <w:rPr>
          <w:rFonts w:ascii="Calibri" w:hAnsi="Calibri"/>
          <w:i/>
          <w:color w:val="525866"/>
          <w:sz w:val="22"/>
        </w:rPr>
        <w:t>Source: SWK Q1 2026 Earnings Call Transcript (April 29, 2026); SWK Q1 2026 Earnings Release; Visible Alpha Consensus and Actuals Data. No post-earnings guidance revisions identified.</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broadly stable since the Q1 2026 print</w:t>
      </w:r>
      <w:r>
        <w:rPr>
          <w:rFonts w:ascii="Calibri" w:hAnsi="Calibri"/>
          <w:color w:val="525866"/>
          <w:sz w:val="22"/>
        </w:rPr>
        <w:t xml:space="preserve"> — Q2 adj. EPS consensus moved only ~+$0.01 (from $1.20 to $1.21) and FY 2026 adj. EPS moved marginally from $5.39 to $5.37, suggesting the Street is tracking guidance rather than diverging. The modest FY EPS drift lower likely reflects the removal of CAM's Q2 contribution, which management confirmed is offset by lower interest expense.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EPS — Q2 2026</w:t>
            </w:r>
          </w:p>
        </w:tc>
        <w:tc>
          <w:tcPr>
            <w:tcW w:type="dxa" w:w="1080"/>
          </w:tcPr>
          <w:p>
            <w:r>
              <w:rPr>
                <w:rFonts w:ascii="Calibri" w:hAnsi="Calibri"/>
                <w:sz w:val="22"/>
              </w:rPr>
              <w:t>$1.20</w:t>
            </w:r>
          </w:p>
        </w:tc>
        <w:tc>
          <w:tcPr>
            <w:tcW w:type="dxa" w:w="1080"/>
          </w:tcPr>
          <w:p>
            <w:r>
              <w:rPr>
                <w:rFonts w:ascii="Calibri" w:hAnsi="Calibri"/>
                <w:sz w:val="22"/>
              </w:rPr>
              <w:t>$1.21</w:t>
            </w:r>
          </w:p>
        </w:tc>
        <w:tc>
          <w:tcPr>
            <w:tcW w:type="dxa" w:w="1080"/>
          </w:tcPr>
          <w:p>
            <w:r>
              <w:rPr>
                <w:rFonts w:ascii="Calibri" w:hAnsi="Calibri"/>
                <w:sz w:val="22"/>
              </w:rPr>
              <w:t>+0.8%</w:t>
            </w:r>
          </w:p>
        </w:tc>
        <w:tc>
          <w:tcPr>
            <w:tcW w:type="dxa" w:w="1080"/>
          </w:tcPr>
          <w:p>
            <w:r>
              <w:rPr>
                <w:rFonts w:ascii="Calibri" w:hAnsi="Calibri"/>
                <w:sz w:val="22"/>
              </w:rPr>
              <w:t>$1.15–$1.25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vs. $1.20 mid</w:t>
            </w:r>
          </w:p>
        </w:tc>
      </w:tr>
      <w:tr>
        <w:tc>
          <w:tcPr>
            <w:tcW w:type="dxa" w:w="1080"/>
          </w:tcPr>
          <w:p>
            <w:r>
              <w:rPr>
                <w:rFonts w:ascii="Calibri" w:hAnsi="Calibri"/>
                <w:sz w:val="22"/>
              </w:rPr>
              <w:t>Net Sales — Q2 2026</w:t>
            </w:r>
          </w:p>
        </w:tc>
        <w:tc>
          <w:tcPr>
            <w:tcW w:type="dxa" w:w="1080"/>
          </w:tcPr>
          <w:p>
            <w:r>
              <w:rPr>
                <w:rFonts w:ascii="Calibri" w:hAnsi="Calibri"/>
                <w:sz w:val="22"/>
              </w:rPr>
              <w:t>$3.963B</w:t>
            </w:r>
          </w:p>
        </w:tc>
        <w:tc>
          <w:tcPr>
            <w:tcW w:type="dxa" w:w="1080"/>
          </w:tcPr>
          <w:p>
            <w:r>
              <w:rPr>
                <w:rFonts w:ascii="Calibri" w:hAnsi="Calibri"/>
                <w:sz w:val="22"/>
              </w:rPr>
              <w:t>$3.962B</w:t>
            </w:r>
          </w:p>
        </w:tc>
        <w:tc>
          <w:tcPr>
            <w:tcW w:type="dxa" w:w="1080"/>
          </w:tcPr>
          <w:p>
            <w:r>
              <w:rPr>
                <w:rFonts w:ascii="Calibri" w:hAnsi="Calibri"/>
                <w:sz w:val="22"/>
              </w:rPr>
              <w:t>~0.0%</w:t>
            </w:r>
          </w:p>
        </w:tc>
        <w:tc>
          <w:tcPr>
            <w:tcW w:type="dxa" w:w="1080"/>
          </w:tcPr>
          <w:p>
            <w:r>
              <w:rPr>
                <w:rFonts w:ascii="Calibri" w:hAnsi="Calibri"/>
                <w:sz w:val="22"/>
              </w:rPr>
              <w:t>~$3.9B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 vs. guide</w:t>
            </w:r>
          </w:p>
        </w:tc>
      </w:tr>
      <w:tr>
        <w:tc>
          <w:tcPr>
            <w:tcW w:type="dxa" w:w="1080"/>
          </w:tcPr>
          <w:p>
            <w:r>
              <w:rPr>
                <w:rFonts w:ascii="Calibri" w:hAnsi="Calibri"/>
                <w:sz w:val="22"/>
              </w:rPr>
              <w:t>Adj. Gross Margin — Q2 2026</w:t>
            </w:r>
          </w:p>
        </w:tc>
        <w:tc>
          <w:tcPr>
            <w:tcW w:type="dxa" w:w="1080"/>
          </w:tcPr>
          <w:p>
            <w:r>
              <w:rPr>
                <w:rFonts w:ascii="Calibri" w:hAnsi="Calibri"/>
                <w:sz w:val="22"/>
              </w:rPr>
              <w:t>30.5%</w:t>
            </w:r>
          </w:p>
        </w:tc>
        <w:tc>
          <w:tcPr>
            <w:tcW w:type="dxa" w:w="1080"/>
          </w:tcPr>
          <w:p>
            <w:r>
              <w:rPr>
                <w:rFonts w:ascii="Calibri" w:hAnsi="Calibri"/>
                <w:sz w:val="22"/>
              </w:rPr>
              <w:t>30.6%</w:t>
            </w:r>
          </w:p>
        </w:tc>
        <w:tc>
          <w:tcPr>
            <w:tcW w:type="dxa" w:w="1080"/>
          </w:tcPr>
          <w:p>
            <w:r>
              <w:rPr>
                <w:rFonts w:ascii="Calibri" w:hAnsi="Calibri"/>
                <w:sz w:val="22"/>
              </w:rPr>
              <w:t>+0.1 pp</w:t>
            </w:r>
          </w:p>
        </w:tc>
        <w:tc>
          <w:tcPr>
            <w:tcW w:type="dxa" w:w="1080"/>
          </w:tcPr>
          <w:p>
            <w:r>
              <w:rPr>
                <w:rFonts w:ascii="Calibri" w:hAnsi="Calibri"/>
                <w:sz w:val="22"/>
              </w:rPr>
              <w:t>~+300 bps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 2026</w:t>
            </w:r>
          </w:p>
        </w:tc>
        <w:tc>
          <w:tcPr>
            <w:tcW w:type="dxa" w:w="1080"/>
          </w:tcPr>
          <w:p>
            <w:r>
              <w:rPr>
                <w:rFonts w:ascii="Calibri" w:hAnsi="Calibri"/>
                <w:sz w:val="22"/>
              </w:rPr>
              <w:t>$5.39</w:t>
            </w:r>
          </w:p>
        </w:tc>
        <w:tc>
          <w:tcPr>
            <w:tcW w:type="dxa" w:w="1080"/>
          </w:tcPr>
          <w:p>
            <w:r>
              <w:rPr>
                <w:rFonts w:ascii="Calibri" w:hAnsi="Calibri"/>
                <w:sz w:val="22"/>
              </w:rPr>
              <w:t>$5.37</w:t>
            </w:r>
          </w:p>
        </w:tc>
        <w:tc>
          <w:tcPr>
            <w:tcW w:type="dxa" w:w="1080"/>
          </w:tcPr>
          <w:p>
            <w:r>
              <w:rPr>
                <w:rFonts w:ascii="Calibri" w:hAnsi="Calibri"/>
                <w:sz w:val="22"/>
              </w:rPr>
              <w:t>-0.4%</w:t>
            </w:r>
          </w:p>
        </w:tc>
        <w:tc>
          <w:tcPr>
            <w:tcW w:type="dxa" w:w="1080"/>
          </w:tcPr>
          <w:p>
            <w:r>
              <w:rPr>
                <w:rFonts w:ascii="Calibri" w:hAnsi="Calibri"/>
                <w:sz w:val="22"/>
              </w:rPr>
              <w:t>$4.90–$5.70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vs. $5.30 mid</w:t>
            </w:r>
          </w:p>
        </w:tc>
      </w:tr>
      <w:tr>
        <w:tc>
          <w:tcPr>
            <w:tcW w:type="dxa" w:w="1080"/>
          </w:tcPr>
          <w:p>
            <w:r>
              <w:rPr>
                <w:rFonts w:ascii="Calibri" w:hAnsi="Calibri"/>
                <w:sz w:val="22"/>
              </w:rPr>
              <w:t>Net Sales — FY 2026</w:t>
            </w:r>
          </w:p>
        </w:tc>
        <w:tc>
          <w:tcPr>
            <w:tcW w:type="dxa" w:w="1080"/>
          </w:tcPr>
          <w:p>
            <w:r>
              <w:rPr>
                <w:rFonts w:ascii="Calibri" w:hAnsi="Calibri"/>
                <w:sz w:val="22"/>
              </w:rPr>
              <w:t>$15.18B</w:t>
            </w:r>
          </w:p>
        </w:tc>
        <w:tc>
          <w:tcPr>
            <w:tcW w:type="dxa" w:w="1080"/>
          </w:tcPr>
          <w:p>
            <w:r>
              <w:rPr>
                <w:rFonts w:ascii="Calibri" w:hAnsi="Calibri"/>
                <w:sz w:val="22"/>
              </w:rPr>
              <w:t>$15.15B</w:t>
            </w:r>
          </w:p>
        </w:tc>
        <w:tc>
          <w:tcPr>
            <w:tcW w:type="dxa" w:w="1080"/>
          </w:tcPr>
          <w:p>
            <w:r>
              <w:rPr>
                <w:rFonts w:ascii="Calibri" w:hAnsi="Calibri"/>
                <w:sz w:val="22"/>
              </w:rPr>
              <w:t>-0.2%</w:t>
            </w:r>
          </w:p>
        </w:tc>
        <w:tc>
          <w:tcPr>
            <w:tcW w:type="dxa" w:w="1080"/>
          </w:tcPr>
          <w:p>
            <w:r>
              <w:rPr>
                <w:rFonts w:ascii="Calibri" w:hAnsi="Calibri"/>
                <w:sz w:val="22"/>
              </w:rPr>
              <w:t>~Flat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Gross Margin — FY 2026</w:t>
            </w:r>
          </w:p>
        </w:tc>
        <w:tc>
          <w:tcPr>
            <w:tcW w:type="dxa" w:w="1080"/>
          </w:tcPr>
          <w:p>
            <w:r>
              <w:rPr>
                <w:rFonts w:ascii="Calibri" w:hAnsi="Calibri"/>
                <w:sz w:val="22"/>
              </w:rPr>
              <w:t>32.2%</w:t>
            </w:r>
          </w:p>
        </w:tc>
        <w:tc>
          <w:tcPr>
            <w:tcW w:type="dxa" w:w="1080"/>
          </w:tcPr>
          <w:p>
            <w:r>
              <w:rPr>
                <w:rFonts w:ascii="Calibri" w:hAnsi="Calibri"/>
                <w:sz w:val="22"/>
              </w:rPr>
              <w:t>32.2%</w:t>
            </w:r>
          </w:p>
        </w:tc>
        <w:tc>
          <w:tcPr>
            <w:tcW w:type="dxa" w:w="1080"/>
          </w:tcPr>
          <w:p>
            <w:r>
              <w:rPr>
                <w:rFonts w:ascii="Calibri" w:hAnsi="Calibri"/>
                <w:sz w:val="22"/>
              </w:rPr>
              <w:t>0.0%</w:t>
            </w:r>
          </w:p>
        </w:tc>
        <w:tc>
          <w:tcPr>
            <w:tcW w:type="dxa" w:w="1080"/>
          </w:tcPr>
          <w:p>
            <w:r>
              <w:rPr>
                <w:rFonts w:ascii="Calibri" w:hAnsi="Calibri"/>
                <w:sz w:val="22"/>
              </w:rPr>
              <w:t>+~150 bps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Free Cash Flow — FY 2026</w:t>
            </w:r>
          </w:p>
        </w:tc>
        <w:tc>
          <w:tcPr>
            <w:tcW w:type="dxa" w:w="1080"/>
          </w:tcPr>
          <w:p>
            <w:r>
              <w:rPr>
                <w:rFonts w:ascii="Calibri" w:hAnsi="Calibri"/>
                <w:sz w:val="22"/>
              </w:rPr>
              <w:t>$670M</w:t>
            </w:r>
          </w:p>
        </w:tc>
        <w:tc>
          <w:tcPr>
            <w:tcW w:type="dxa" w:w="1080"/>
          </w:tcPr>
          <w:p>
            <w:r>
              <w:rPr>
                <w:rFonts w:ascii="Calibri" w:hAnsi="Calibri"/>
                <w:sz w:val="22"/>
              </w:rPr>
              <w:t>$729M</w:t>
            </w:r>
          </w:p>
        </w:tc>
        <w:tc>
          <w:tcPr>
            <w:tcW w:type="dxa" w:w="1080"/>
          </w:tcPr>
          <w:p>
            <w:r>
              <w:rPr>
                <w:rFonts w:ascii="Calibri" w:hAnsi="Calibri"/>
                <w:sz w:val="22"/>
              </w:rPr>
              <w:t>+8.8%</w:t>
            </w:r>
          </w:p>
        </w:tc>
        <w:tc>
          <w:tcPr>
            <w:tcW w:type="dxa" w:w="1080"/>
          </w:tcPr>
          <w:p>
            <w:r>
              <w:rPr>
                <w:rFonts w:ascii="Calibri" w:hAnsi="Calibri"/>
                <w:sz w:val="22"/>
              </w:rPr>
              <w:t>$500–$700M (incl. CAM taxes)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top of range; Street more optimistic on FCF</w:t>
            </w:r>
          </w:p>
        </w:tc>
      </w:tr>
    </w:tbl>
    <w:p>
      <w:r>
        <w:rPr>
          <w:rFonts w:ascii="Calibri" w:hAnsi="Calibri"/>
          <w:color w:val="525866"/>
          <w:sz w:val="22"/>
        </w:rPr>
        <w:t xml:space="preserve">The revision picture is unusually clean: estimates have barely moved since the Q1 print, tracking guidance almost exactly. The one divergence worth noting is </w:t>
      </w:r>
      <w:r>
        <w:rPr>
          <w:rFonts w:ascii="Calibri" w:hAnsi="Calibri"/>
          <w:b/>
          <w:color w:val="525866"/>
          <w:sz w:val="22"/>
        </w:rPr>
        <w:t>FCF</w:t>
      </w:r>
      <w:r>
        <w:rPr>
          <w:rFonts w:ascii="Calibri" w:hAnsi="Calibri"/>
          <w:color w:val="525866"/>
          <w:sz w:val="22"/>
        </w:rPr>
        <w:t xml:space="preserve"> — the Street at $729M sits above the top of management's $500–$700M (including CAM taxes) range, suggesting analysts may be modeling a smaller-than-guided CAM tax payment or faster working capital improvement. This could be a source of upside or a reset risk depending on actual CAM-related cash outflows in Q2.</w:t>
      </w:r>
    </w:p>
    <w:p>
      <w:r>
        <w:rPr>
          <w:rFonts w:ascii="Calibri" w:hAnsi="Calibri"/>
          <w:i/>
          <w:color w:val="525866"/>
          <w:sz w:val="22"/>
        </w:rPr>
        <w:t>Source: Visible Alpha Consensus and Actuals Data (as-of date May 6, 2026 and current); SWK Q1 2026 Earnings Call Transcript.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SWK has </w:t>
      </w:r>
      <w:r>
        <w:rPr>
          <w:rFonts w:ascii="Calibri" w:hAnsi="Calibri"/>
          <w:b/>
          <w:color w:val="525866"/>
          <w:sz w:val="22"/>
        </w:rPr>
        <w:t>significantly outperformed both XLI and the S&amp;P 500 since the Q1 2026 earnings date</w:t>
      </w:r>
      <w:r>
        <w:rPr>
          <w:rFonts w:ascii="Calibri" w:hAnsi="Calibri"/>
          <w:color w:val="525866"/>
          <w:sz w:val="22"/>
        </w:rPr>
        <w:t xml:space="preserve"> (+24% vs. +7% and +4%, respectively), driven primarily by sentiment re-rating on the CAM divestiture close, the $500M buyback authorization, and growing confidence in the gross margin expansion trajectory. The multiple re-rating has done most of the work; earnings revisions have been minimal.</w:t>
      </w:r>
    </w:p>
    <w:p>
      <w:r>
        <w:rPr>
          <w:rFonts w:ascii="Calibri" w:hAnsi="Calibri"/>
          <w:b/>
          <w:color w:val="525866"/>
          <w:sz w:val="22"/>
        </w:rPr>
        <w:t>Indexed Performance Since Q1 2026 Earnings (April 29,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SWK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(Q1 Earnings)</w:t>
            </w:r>
          </w:p>
        </w:tc>
        <w:tc>
          <w:tcPr>
            <w:tcW w:type="dxa" w:w="2160"/>
          </w:tcPr>
          <w:p>
            <w:r>
              <w:rPr>
                <w:rFonts w:ascii="Calibri" w:hAnsi="Calibri"/>
                <w:sz w:val="22"/>
              </w:rPr>
              <w:t>100.0 ($75.89)</w:t>
            </w:r>
          </w:p>
        </w:tc>
        <w:tc>
          <w:tcPr>
            <w:tcW w:type="dxa" w:w="2160"/>
          </w:tcPr>
          <w:p>
            <w:r>
              <w:rPr>
                <w:rFonts w:ascii="Calibri" w:hAnsi="Calibri"/>
                <w:sz w:val="22"/>
              </w:rPr>
              <w:t>100.0 ($169.93)</w:t>
            </w:r>
          </w:p>
        </w:tc>
        <w:tc>
          <w:tcPr>
            <w:tcW w:type="dxa" w:w="2160"/>
          </w:tcPr>
          <w:p>
            <w:r>
              <w:rPr>
                <w:rFonts w:ascii="Calibri" w:hAnsi="Calibri"/>
                <w:sz w:val="22"/>
              </w:rPr>
              <w:t>100.0 ($711.58)</w:t>
            </w:r>
          </w:p>
        </w:tc>
      </w:tr>
      <w:tr>
        <w:tc>
          <w:tcPr>
            <w:tcW w:type="dxa" w:w="2160"/>
          </w:tcPr>
          <w:p>
            <w:r>
              <w:rPr>
                <w:rFonts w:ascii="Calibri" w:hAnsi="Calibri"/>
                <w:sz w:val="22"/>
              </w:rPr>
              <w:t>May 29, 2026</w:t>
            </w:r>
          </w:p>
        </w:tc>
        <w:tc>
          <w:tcPr>
            <w:tcW w:type="dxa" w:w="2160"/>
          </w:tcPr>
          <w:p>
            <w:r>
              <w:rPr>
                <w:rFonts w:ascii="Calibri" w:hAnsi="Calibri"/>
                <w:sz w:val="22"/>
              </w:rPr>
              <w:t>104.7 ($79.42)</w:t>
            </w:r>
          </w:p>
        </w:tc>
        <w:tc>
          <w:tcPr>
            <w:tcW w:type="dxa" w:w="2160"/>
          </w:tcPr>
          <w:p>
            <w:r>
              <w:rPr>
                <w:rFonts w:ascii="Calibri" w:hAnsi="Calibri"/>
                <w:sz w:val="22"/>
              </w:rPr>
              <w:t>101.9 ($173.13)</w:t>
            </w:r>
          </w:p>
        </w:tc>
        <w:tc>
          <w:tcPr>
            <w:tcW w:type="dxa" w:w="2160"/>
          </w:tcPr>
          <w:p>
            <w:r>
              <w:rPr>
                <w:rFonts w:ascii="Calibri" w:hAnsi="Calibri"/>
                <w:sz w:val="22"/>
              </w:rPr>
              <w:t>106.3 ($756.48)</w:t>
            </w:r>
          </w:p>
        </w:tc>
      </w:tr>
      <w:tr>
        <w:tc>
          <w:tcPr>
            <w:tcW w:type="dxa" w:w="2160"/>
          </w:tcPr>
          <w:p>
            <w:r>
              <w:rPr>
                <w:rFonts w:ascii="Calibri" w:hAnsi="Calibri"/>
                <w:sz w:val="22"/>
              </w:rPr>
              <w:t>Jun 30, 2026</w:t>
            </w:r>
          </w:p>
        </w:tc>
        <w:tc>
          <w:tcPr>
            <w:tcW w:type="dxa" w:w="2160"/>
          </w:tcPr>
          <w:p>
            <w:r>
              <w:rPr>
                <w:rFonts w:ascii="Calibri" w:hAnsi="Calibri"/>
                <w:sz w:val="22"/>
              </w:rPr>
              <w:t>124.0 ($94.12)</w:t>
            </w:r>
          </w:p>
        </w:tc>
        <w:tc>
          <w:tcPr>
            <w:tcW w:type="dxa" w:w="2160"/>
          </w:tcPr>
          <w:p>
            <w:r>
              <w:rPr>
                <w:rFonts w:ascii="Calibri" w:hAnsi="Calibri"/>
                <w:sz w:val="22"/>
              </w:rPr>
              <w:t>109.0 ($185.23)</w:t>
            </w:r>
          </w:p>
        </w:tc>
        <w:tc>
          <w:tcPr>
            <w:tcW w:type="dxa" w:w="2160"/>
          </w:tcPr>
          <w:p>
            <w:r>
              <w:rPr>
                <w:rFonts w:ascii="Calibri" w:hAnsi="Calibri"/>
                <w:sz w:val="22"/>
              </w:rPr>
              <w:t>104.9 ($746.77)</w:t>
            </w:r>
          </w:p>
        </w:tc>
      </w:tr>
      <w:tr>
        <w:tc>
          <w:tcPr>
            <w:tcW w:type="dxa" w:w="2160"/>
          </w:tcPr>
          <w:p>
            <w:r>
              <w:rPr>
                <w:rFonts w:ascii="Calibri" w:hAnsi="Calibri"/>
                <w:sz w:val="22"/>
              </w:rPr>
              <w:t>Jul 28, 2026 (Latest)</w:t>
            </w:r>
          </w:p>
        </w:tc>
        <w:tc>
          <w:tcPr>
            <w:tcW w:type="dxa" w:w="2160"/>
          </w:tcPr>
          <w:p>
            <w:r>
              <w:rPr>
                <w:rFonts w:ascii="Calibri" w:hAnsi="Calibri"/>
                <w:b/>
                <w:sz w:val="22"/>
              </w:rPr>
              <w:t>124.1 ($94.19)</w:t>
            </w:r>
          </w:p>
        </w:tc>
        <w:tc>
          <w:tcPr>
            <w:tcW w:type="dxa" w:w="2160"/>
          </w:tcPr>
          <w:p>
            <w:r>
              <w:rPr>
                <w:rFonts w:ascii="Calibri" w:hAnsi="Calibri"/>
                <w:sz w:val="22"/>
              </w:rPr>
              <w:t>107.4 ($182.49)</w:t>
            </w:r>
          </w:p>
        </w:tc>
        <w:tc>
          <w:tcPr>
            <w:tcW w:type="dxa" w:w="2160"/>
          </w:tcPr>
          <w:p>
            <w:r>
              <w:rPr>
                <w:rFonts w:ascii="Calibri" w:hAnsi="Calibri"/>
                <w:sz w:val="22"/>
              </w:rPr>
              <w:t>104.1 ($740.86)</w:t>
            </w:r>
          </w:p>
        </w:tc>
      </w:tr>
    </w:tbl>
    <w:p>
      <w:r>
        <w:rPr>
          <w:rFonts w:ascii="Calibri" w:hAnsi="Calibri"/>
          <w:b/>
          <w:color w:val="525866"/>
          <w:sz w:val="22"/>
        </w:rPr>
        <w:t>Key Observations:</w:t>
      </w:r>
    </w:p>
    <w:p>
      <w:pPr>
        <w:pStyle w:val="ListBullet"/>
        <w:ind w:left="360" w:hanging="360"/>
      </w:pPr>
      <w:r>
        <w:rPr>
          <w:rFonts w:ascii="Calibri" w:hAnsi="Calibri"/>
          <w:b/>
          <w:color w:val="525866"/>
          <w:sz w:val="22"/>
        </w:rPr>
        <w:t>SWK's outperformance was front-loaded in June</w:t>
      </w:r>
      <w:r>
        <w:rPr>
          <w:rFonts w:ascii="Calibri" w:hAnsi="Calibri"/>
          <w:color w:val="525866"/>
          <w:sz w:val="22"/>
        </w:rPr>
        <w:t>: the stock surged from ~$79 to ~$94 between late May and June 30, coinciding with broader industrial sector strength and growing conviction in the margin expansion story. The stock has been essentially flat since June 30 (~$94), suggesting the market is waiting for Q2 results to confirm the thesis.</w:t>
      </w:r>
    </w:p>
    <w:p>
      <w:pPr>
        <w:pStyle w:val="ListBullet"/>
        <w:ind w:left="360" w:hanging="360"/>
      </w:pPr>
      <w:r>
        <w:rPr>
          <w:rFonts w:ascii="Calibri" w:hAnsi="Calibri"/>
          <w:b/>
          <w:color w:val="525866"/>
          <w:sz w:val="22"/>
        </w:rPr>
        <w:t>XLI (Industrial Select Sector SPDR ETF) used as the sector benchmark</w:t>
      </w:r>
      <w:r>
        <w:rPr>
          <w:rFonts w:ascii="Calibri" w:hAnsi="Calibri"/>
          <w:color w:val="525866"/>
          <w:sz w:val="22"/>
        </w:rPr>
        <w:t xml:space="preserve"> — appropriate given SWK's classification as a diversified industrial manufacturer. XLI is up ~7% since Q1 earnings, reflecting a healthy but more modest industrial sector rally.</w:t>
      </w:r>
    </w:p>
    <w:p>
      <w:pPr>
        <w:pStyle w:val="ListBullet"/>
        <w:ind w:left="360" w:hanging="360"/>
      </w:pPr>
      <w:r>
        <w:rPr>
          <w:rFonts w:ascii="Calibri" w:hAnsi="Calibri"/>
          <w:b/>
          <w:color w:val="525866"/>
          <w:sz w:val="22"/>
        </w:rPr>
        <w:t>The stock's ~24% gain on minimal estimate revisions (~0% EPS change)</w:t>
      </w:r>
      <w:r>
        <w:rPr>
          <w:rFonts w:ascii="Calibri" w:hAnsi="Calibri"/>
          <w:color w:val="525866"/>
          <w:sz w:val="22"/>
        </w:rPr>
        <w:t xml:space="preserve"> implies the move was almost entirely multiple expansion / sentiment-driven, not earnings-driven. This raises the bar for Q2: the stock needs the print to validate the re-rating, not just meet it.</w:t>
      </w:r>
    </w:p>
    <w:p>
      <w:r>
        <w:rPr>
          <w:rFonts w:ascii="Calibri" w:hAnsi="Calibri"/>
          <w:i/>
          <w:color w:val="525866"/>
          <w:sz w:val="22"/>
        </w:rPr>
        <w:t>Source: Stock Price Data (Yahoo Finance). Sector ETF: XLI (Industrial Select Sector SPDR ETF).</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April 6 close of the CAM aerospace divestiture</w:t>
      </w:r>
      <w:r>
        <w:rPr>
          <w:rFonts w:ascii="Calibri" w:hAnsi="Calibri"/>
          <w:color w:val="525866"/>
          <w:sz w:val="22"/>
        </w:rPr>
        <w:t xml:space="preserve"> (~$1.57B net proceeds applied to debt), which de-levers the balance sheet and enables the $500M buyback. The tariff environment has evolved favorably on a net basis but is being offset by new commodity inflation, leaving the gross margin bridge essentially intact but with less cushion than hoped.</w:t>
      </w:r>
    </w:p>
    <w:p>
      <w:pPr>
        <w:pStyle w:val="ListBullet"/>
        <w:ind w:left="360" w:hanging="360"/>
      </w:pPr>
      <w:r>
        <w:rPr>
          <w:rFonts w:ascii="Calibri" w:hAnsi="Calibri"/>
          <w:b/>
          <w:color w:val="525866"/>
          <w:sz w:val="22"/>
        </w:rPr>
        <w:t>April 6, 2026 — CAM Aerospace Divestiture Closed:</w:t>
      </w:r>
      <w:r>
        <w:rPr>
          <w:rFonts w:ascii="Calibri" w:hAnsi="Calibri"/>
          <w:color w:val="525866"/>
          <w:sz w:val="22"/>
        </w:rPr>
        <w:t xml:space="preserve"> Sale of Consolidated Aerospace Manufacturing (CAM) to Howmet Aerospace for $1.8B gross ($1.57B net of taxes/fees) completed. Proceeds applied to debt reduction in Q2. This is the last major portfolio reshaping action; management has explicitly stated near-term M&amp;A has no significant role. </w:t>
      </w:r>
      <w:r>
        <w:rPr>
          <w:rFonts w:ascii="Calibri" w:hAnsi="Calibri"/>
          <w:i/>
          <w:color w:val="525866"/>
          <w:sz w:val="22"/>
        </w:rPr>
        <w:t>Implication:</w:t>
      </w:r>
      <w:r>
        <w:rPr>
          <w:rFonts w:ascii="Calibri" w:hAnsi="Calibri"/>
          <w:color w:val="525866"/>
          <w:sz w:val="22"/>
        </w:rPr>
        <w:t xml:space="preserve"> Q2 results will reflect the first full quarter without CAM's Engineered Fastening contribution (~$15M pretax profit headwind), offset by ~$15M lower interest expense — net EPS impact is neutral per management.</w:t>
      </w:r>
    </w:p>
    <w:p>
      <w:pPr>
        <w:pStyle w:val="ListBullet"/>
        <w:ind w:left="360" w:hanging="360"/>
      </w:pPr>
      <w:r>
        <w:rPr>
          <w:rFonts w:ascii="Calibri" w:hAnsi="Calibri"/>
          <w:b/>
          <w:color w:val="525866"/>
          <w:sz w:val="22"/>
        </w:rPr>
        <w:t>April 29, 2026 — $500M Share Repurchase Authorization:</w:t>
      </w:r>
      <w:r>
        <w:rPr>
          <w:rFonts w:ascii="Calibri" w:hAnsi="Calibri"/>
          <w:color w:val="525866"/>
          <w:sz w:val="22"/>
        </w:rPr>
        <w:t xml:space="preserve"> Board authorized $500M buyback program. Management has indicated capital allocation is biased toward share repurchases as the primary use of excess cash post-CAM. </w:t>
      </w:r>
      <w:r>
        <w:rPr>
          <w:rFonts w:ascii="Calibri" w:hAnsi="Calibri"/>
          <w:i/>
          <w:color w:val="525866"/>
          <w:sz w:val="22"/>
        </w:rPr>
        <w:t>Implication:</w:t>
      </w:r>
      <w:r>
        <w:rPr>
          <w:rFonts w:ascii="Calibri" w:hAnsi="Calibri"/>
          <w:color w:val="525866"/>
          <w:sz w:val="22"/>
        </w:rPr>
        <w:t xml:space="preserve"> Potential EPS accretion in H2 2026 if repurchases are executed; watch for Q2 commentary on pace of buybacks.</w:t>
      </w:r>
    </w:p>
    <w:p>
      <w:pPr>
        <w:pStyle w:val="ListBullet"/>
        <w:ind w:left="360" w:hanging="360"/>
      </w:pPr>
      <w:r>
        <w:rPr>
          <w:rFonts w:ascii="Calibri" w:hAnsi="Calibri"/>
          <w:b/>
          <w:color w:val="525866"/>
          <w:sz w:val="22"/>
        </w:rPr>
        <w:t>July 25, 2026 — New Section 301 Tariffs Take Effect:</w:t>
      </w:r>
      <w:r>
        <w:rPr>
          <w:rFonts w:ascii="Calibri" w:hAnsi="Calibri"/>
          <w:color w:val="525866"/>
          <w:sz w:val="22"/>
        </w:rPr>
        <w:t xml:space="preserve"> The Trump administration imposed new Section 301 tariffs (10–12.5%) on 60 trading partners as the temporary Section 122 tariffs expired. SWK's base case (stated on Q1 call) assumed Section 301 tariffs would replace IEEPA tariffs at similar levels by ~August 2026 — this is tracking as expected. </w:t>
      </w:r>
      <w:r>
        <w:rPr>
          <w:rFonts w:ascii="Calibri" w:hAnsi="Calibri"/>
          <w:i/>
          <w:color w:val="525866"/>
          <w:sz w:val="22"/>
        </w:rPr>
        <w:t>Implication:</w:t>
      </w:r>
      <w:r>
        <w:rPr>
          <w:rFonts w:ascii="Calibri" w:hAnsi="Calibri"/>
          <w:color w:val="525866"/>
          <w:sz w:val="22"/>
        </w:rPr>
        <w:t xml:space="preserve"> No material change to SWK's tariff assumptions; the company's USMCA qualification progress and China sourcing reduction (&lt;5% by year-end) remain the primary mitigation levers.</w:t>
      </w:r>
    </w:p>
    <w:p>
      <w:pPr>
        <w:pStyle w:val="ListBullet"/>
        <w:ind w:left="360" w:hanging="360"/>
      </w:pPr>
      <w:r>
        <w:rPr>
          <w:rFonts w:ascii="Calibri" w:hAnsi="Calibri"/>
          <w:b/>
          <w:color w:val="525866"/>
          <w:sz w:val="22"/>
        </w:rPr>
        <w:t>Ongoing — Battery Metals, Tungsten &amp; Resin Inflation:</w:t>
      </w:r>
      <w:r>
        <w:rPr>
          <w:rFonts w:ascii="Calibri" w:hAnsi="Calibri"/>
          <w:color w:val="525866"/>
          <w:sz w:val="22"/>
        </w:rPr>
        <w:t xml:space="preserve"> Management flagged on the Q1 call that inflationary pressures in battery metals, tungsten (used in saw blades/drill bits), and oil derivatives (resins, freight) are roughly offsetting the tariff tailwind. Middle East conflict-related commodity inflation has persisted. </w:t>
      </w:r>
      <w:r>
        <w:rPr>
          <w:rFonts w:ascii="Calibri" w:hAnsi="Calibri"/>
          <w:i/>
          <w:color w:val="525866"/>
          <w:sz w:val="22"/>
        </w:rPr>
        <w:t>Implication:</w:t>
      </w:r>
      <w:r>
        <w:rPr>
          <w:rFonts w:ascii="Calibri" w:hAnsi="Calibri"/>
          <w:color w:val="525866"/>
          <w:sz w:val="22"/>
        </w:rPr>
        <w:t xml:space="preserve"> The gross margin bridge is intact but the cushion is thin — any further commodity spike is a downside risk to the ~300 bps Q2 margin improvement target.</w:t>
      </w:r>
    </w:p>
    <w:p>
      <w:pPr>
        <w:pStyle w:val="ListBullet"/>
        <w:ind w:left="360" w:hanging="360"/>
      </w:pPr>
      <w:r>
        <w:rPr>
          <w:rFonts w:ascii="Calibri" w:hAnsi="Calibri"/>
          <w:b/>
          <w:color w:val="525866"/>
          <w:sz w:val="22"/>
        </w:rPr>
        <w:t>July 2026 — Industrials Sector Earnings Season Broadly Positive:</w:t>
      </w:r>
      <w:r>
        <w:rPr>
          <w:rFonts w:ascii="Calibri" w:hAnsi="Calibri"/>
          <w:color w:val="525866"/>
          <w:sz w:val="22"/>
        </w:rPr>
        <w:t xml:space="preserve"> Peers including 3M (MMM), Honeywell Technologies (HON), Allegion (ALLE), United Rentals (URI), and Wabtec (WAB) all reported Q2 beats and raised guidance, with broad-based strength in commercial/industrial end markets. </w:t>
      </w:r>
      <w:r>
        <w:rPr>
          <w:rFonts w:ascii="Calibri" w:hAnsi="Calibri"/>
          <w:i/>
          <w:color w:val="525866"/>
          <w:sz w:val="22"/>
        </w:rPr>
        <w:t>Implication:</w:t>
      </w:r>
      <w:r>
        <w:rPr>
          <w:rFonts w:ascii="Calibri" w:hAnsi="Calibri"/>
          <w:color w:val="525866"/>
          <w:sz w:val="22"/>
        </w:rPr>
        <w:t xml:space="preserve"> Positive read-through for SWK's commercial and industrial channel, which delivered high-single-digit organic growth in Q1 2026.</w:t>
      </w:r>
    </w:p>
    <w:p>
      <w:pPr>
        <w:pStyle w:val="ListBullet"/>
        <w:ind w:left="360" w:hanging="360"/>
      </w:pPr>
      <w:r>
        <w:rPr>
          <w:rFonts w:ascii="Calibri" w:hAnsi="Calibri"/>
          <w:b/>
          <w:color w:val="525866"/>
          <w:sz w:val="22"/>
        </w:rPr>
        <w:t>July 15, 2026 — Pentair (PNR) Negative Pre-Announcement:</w:t>
      </w:r>
      <w:r>
        <w:rPr>
          <w:rFonts w:ascii="Calibri" w:hAnsi="Calibri"/>
          <w:color w:val="525866"/>
          <w:sz w:val="22"/>
        </w:rPr>
        <w:t xml:space="preserve"> Pentair cut full-year guidance sharply, citing elevated pool industry inventories (Q2 sales down 17% YoY vs. Street +1%). CFO resigned. </w:t>
      </w:r>
      <w:r>
        <w:rPr>
          <w:rFonts w:ascii="Calibri" w:hAnsi="Calibri"/>
          <w:i/>
          <w:color w:val="525866"/>
          <w:sz w:val="22"/>
        </w:rPr>
        <w:t>Implication:</w:t>
      </w:r>
      <w:r>
        <w:rPr>
          <w:rFonts w:ascii="Calibri" w:hAnsi="Calibri"/>
          <w:color w:val="525866"/>
          <w:sz w:val="22"/>
        </w:rPr>
        <w:t xml:space="preserve"> Negative read-through for SWK's outdoor/residential segment — pool and residential outdoor equipment destocking may be worse than expected. However, SWK's outdoor exposure is primarily in power tools and mowers (not pool), and management has been executing a shift to a licensed model for gas walk-behind mowers.</w:t>
      </w:r>
    </w:p>
    <w:p>
      <w:pPr>
        <w:pStyle w:val="ListBullet"/>
        <w:ind w:left="360" w:hanging="360"/>
      </w:pPr>
      <w:r>
        <w:rPr>
          <w:rFonts w:ascii="Calibri" w:hAnsi="Calibri"/>
          <w:b/>
          <w:color w:val="525866"/>
          <w:sz w:val="22"/>
        </w:rPr>
        <w:t>July 22–23, 2026 — Snap-on (SNA) Q2 2026 Earnings:</w:t>
      </w:r>
      <w:r>
        <w:rPr>
          <w:rFonts w:ascii="Calibri" w:hAnsi="Calibri"/>
          <w:color w:val="525866"/>
          <w:sz w:val="22"/>
        </w:rPr>
        <w:t xml:space="preserve"> SNA reported organic sales up 3% in Tools Group and +11% in Commercial &amp; Industrial, with professional demand described as resilient despite consumer caution. </w:t>
      </w:r>
      <w:r>
        <w:rPr>
          <w:rFonts w:ascii="Calibri" w:hAnsi="Calibri"/>
          <w:i/>
          <w:color w:val="525866"/>
          <w:sz w:val="22"/>
        </w:rPr>
        <w:t>Implication:</w:t>
      </w:r>
      <w:r>
        <w:rPr>
          <w:rFonts w:ascii="Calibri" w:hAnsi="Calibri"/>
          <w:color w:val="525866"/>
          <w:sz w:val="22"/>
        </w:rPr>
        <w:t xml:space="preserve"> Positive read-through for SWK's professional tool demand; see Peer Commentaries section for detail.</w:t>
      </w:r>
    </w:p>
    <w:p>
      <w:pPr>
        <w:pStyle w:val="ListBullet"/>
        <w:ind w:left="360" w:hanging="360"/>
      </w:pPr>
      <w:r>
        <w:rPr>
          <w:rFonts w:ascii="Calibri" w:hAnsi="Calibri"/>
          <w:b/>
          <w:color w:val="525866"/>
          <w:sz w:val="22"/>
        </w:rPr>
        <w:t>June 4, 2026 — Toro Company (TTC) Q2 FY2026 Earnings:</w:t>
      </w:r>
      <w:r>
        <w:rPr>
          <w:rFonts w:ascii="Calibri" w:hAnsi="Calibri"/>
          <w:color w:val="525866"/>
          <w:sz w:val="22"/>
        </w:rPr>
        <w:t xml:space="preserve"> TTC reported strong professional outdoor demand (+9% Professional net sales) and raised full-year guidance, while noting residential customers are "buying down" and European residential remains soft. </w:t>
      </w:r>
      <w:r>
        <w:rPr>
          <w:rFonts w:ascii="Calibri" w:hAnsi="Calibri"/>
          <w:i/>
          <w:color w:val="525866"/>
          <w:sz w:val="22"/>
        </w:rPr>
        <w:t>Implication:</w:t>
      </w:r>
      <w:r>
        <w:rPr>
          <w:rFonts w:ascii="Calibri" w:hAnsi="Calibri"/>
          <w:color w:val="525866"/>
          <w:sz w:val="22"/>
        </w:rPr>
        <w:t xml:space="preserve"> Mixed read-through for SWK's outdoor segment — professional/commercial outdoor is healthy, but residential outdoor remains challenged.</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SWK in the 60-day window prior to the Q2 2026 earnings date. The absence of insider buying is not a negative signal given the stock's ~24% rally since Q1 earnings; the absence of discretionary selling is mildly constructive.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Form 4 transactions (codes P/S) identified for SWK in the May 28 – July 28, 2026 window.</w:t>
            </w:r>
          </w:p>
        </w:tc>
      </w:tr>
    </w:tbl>
    <w:p>
      <w:r>
        <w:rPr>
          <w:rFonts w:ascii="Calibri" w:hAnsi="Calibri"/>
          <w:b/>
          <w:color w:val="525866"/>
          <w:sz w:val="22"/>
        </w:rPr>
        <w:t>Note:</w:t>
      </w:r>
      <w:r>
        <w:rPr>
          <w:rFonts w:ascii="Calibri" w:hAnsi="Calibri"/>
          <w:color w:val="525866"/>
          <w:sz w:val="22"/>
        </w:rPr>
        <w:t xml:space="preserve"> The SEC Form 4 database was queried for SWK open-market purchases (code P) and sales (code S) filed between May 28 and July 28, 2026. No transactions matching these criteria were returned. This is consistent with a typical pre-earnings quiet period and does not represent a meaningful signal in either direction. The company's $500M buyback program (corporate-level repurchases) is separate from insider Form 4 activity.</w:t>
      </w:r>
    </w:p>
    <w:p>
      <w:r>
        <w:br w:type="page"/>
      </w:r>
    </w:p>
    <w:p>
      <w:pPr>
        <w:pStyle w:val="Heading2"/>
      </w:pPr>
      <w:r>
        <w:rPr>
          <w:rFonts w:ascii="Calibri" w:hAnsi="Calibri"/>
          <w:b/>
          <w:color w:val="3B4259"/>
          <w:sz w:val="28"/>
        </w:rPr>
        <w:t>8. Peer Commentaries &amp;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net positive for SWK's Q2 2026 setup</w:t>
      </w:r>
      <w:r>
        <w:rPr>
          <w:rFonts w:ascii="Calibri" w:hAnsi="Calibri"/>
          <w:color w:val="525866"/>
          <w:sz w:val="22"/>
        </w:rPr>
        <w:t>: professional tool demand is resilient (SNA), outdoor professional markets are strong (TTC), and the broader industrial sector is delivering beats and raises (MMM, HON, ALLE, URI). The primary caution is residential/consumer softness (TTC residential flat; PNR pool destocking), which is consistent with SWK's own guidance for continued North American retail volume headwinds.</w:t>
      </w:r>
    </w:p>
    <w:p>
      <w:r>
        <w:rPr>
          <w:rFonts w:ascii="Calibri" w:hAnsi="Calibri"/>
          <w:b/>
          <w:color w:val="525866"/>
          <w:sz w:val="22"/>
        </w:rPr>
        <w:t>Scope &amp; Methodology:</w:t>
      </w:r>
      <w:r>
        <w:rPr>
          <w:rFonts w:ascii="Calibri" w:hAnsi="Calibri"/>
          <w:color w:val="525866"/>
          <w:sz w:val="22"/>
        </w:rPr>
        <w:t xml:space="preserve"> This section includes only peer commentary from the 60-day window (May 28 – July 28, 2026) that pertains to </w:t>
      </w:r>
      <w:r>
        <w:rPr>
          <w:rFonts w:ascii="Calibri" w:hAnsi="Calibri"/>
          <w:b/>
          <w:color w:val="525866"/>
          <w:sz w:val="22"/>
        </w:rPr>
        <w:t>current-quarter (Q2 2026) conditions or forward outlook</w:t>
      </w:r>
      <w:r>
        <w:rPr>
          <w:rFonts w:ascii="Calibri" w:hAnsi="Calibri"/>
          <w:color w:val="525866"/>
          <w:sz w:val="22"/>
        </w:rPr>
        <w:t>. Retrospective commentary about prior completed quarters (e.g., a peer's Q1 2026 results discussion) is excluded unless it contains explicit forward-looking statements about Q2 2026 or beyond. Each entry is labeled with its relevance and limitations.</w:t>
      </w:r>
    </w:p>
    <w:p>
      <w:pPr>
        <w:pStyle w:val="Heading3"/>
      </w:pPr>
      <w:r>
        <w:rPr>
          <w:rFonts w:ascii="Calibri" w:hAnsi="Calibri"/>
          <w:b/>
          <w:color w:val="3B4259"/>
          <w:sz w:val="24"/>
        </w:rPr>
        <w:t>8.1 Snap-on (SNA) — Q2 2026 Earnings Call (July 23, 2026)</w:t>
      </w:r>
    </w:p>
    <w:p>
      <w:r>
        <w:rPr>
          <w:rFonts w:ascii="Calibri" w:hAnsi="Calibri"/>
          <w:b/>
          <w:color w:val="525866"/>
          <w:sz w:val="22"/>
        </w:rPr>
        <w:t>Relevance to SWK:</w:t>
      </w:r>
      <w:r>
        <w:rPr>
          <w:rFonts w:ascii="Calibri" w:hAnsi="Calibri"/>
          <w:color w:val="525866"/>
          <w:sz w:val="22"/>
        </w:rPr>
        <w:t xml:space="preserve"> SNA is a direct peer in professional hand tools and power tools. Its Q2 2026 results (quarter ended July 4, 2026) overlap with SWK's Q2 2026 (quarter ended June 30, 2026) and provide the most contemporaneous read on professional tool demand, channel conditions, pricing, and tariff/input cost dynamics.</w:t>
      </w:r>
    </w:p>
    <w:p>
      <w:r>
        <w:rPr>
          <w:rFonts w:ascii="Calibri" w:hAnsi="Calibri"/>
          <w:b/>
          <w:color w:val="525866"/>
          <w:sz w:val="22"/>
        </w:rPr>
        <w:t>Limitations:</w:t>
      </w:r>
      <w:r>
        <w:rPr>
          <w:rFonts w:ascii="Calibri" w:hAnsi="Calibri"/>
          <w:color w:val="525866"/>
          <w:sz w:val="22"/>
        </w:rPr>
        <w:t xml:space="preserve"> SNA sells exclusively through its proprietary franchise van channel to professional vehicle repair technicians — it does not sell through mass retail or home improvement channels. SWK's Tools &amp; Outdoor segment has significant retail exposure (CRAFTSMAN at Lowe's, STANLEY at mass retail) that SNA does not. SNA's margin structure (gross margins ~51%) is not comparable to SWK's (~30%). Read-throughs are most applicable to SWK's DEWALT professional line and commercial/industrial channel.</w:t>
      </w:r>
    </w:p>
    <w:p>
      <w:pPr>
        <w:pStyle w:val="Heading4"/>
      </w:pPr>
      <w:r>
        <w:rPr>
          <w:rFonts w:ascii="Calibri" w:hAnsi="Calibri"/>
          <w:b/>
          <w:color w:val="3B4259"/>
          <w:sz w:val="22"/>
        </w:rPr>
        <w:t>Professional Demand: Resilient Despite Macro Turbulence</w:t>
      </w:r>
    </w:p>
    <w:p>
      <w:r>
        <w:rPr>
          <w:rFonts w:ascii="Calibri" w:hAnsi="Calibri"/>
          <w:color w:val="525866"/>
          <w:sz w:val="22"/>
        </w:rPr>
        <w:t xml:space="preserve">SNA CEO Nick Pinchuk characterized Q2 as a quarter of "ongoing momentum and more green shoots progress against the whirlwind," noting that "overall, volumes are what are up" despite "fluctuating tariffs, restructured supply chains and now piling on the impasse with Iran." The vehicle repair market is described as a "golden age" — aging vehicle park, increasing model complexity, and rising technician wages all driving sustained demand. </w:t>
      </w:r>
      <w:r>
        <w:rPr>
          <w:rFonts w:ascii="Calibri" w:hAnsi="Calibri"/>
          <w:b/>
          <w:color w:val="525866"/>
          <w:sz w:val="22"/>
        </w:rPr>
        <w:t>Read-through for SWK:</w:t>
      </w:r>
      <w:r>
        <w:rPr>
          <w:rFonts w:ascii="Calibri" w:hAnsi="Calibri"/>
          <w:color w:val="525866"/>
          <w:sz w:val="22"/>
        </w:rPr>
        <w:t xml:space="preserve"> Positive for DEWALT's professional power tool and hand tool lines. SWK's Q1 2026 call highlighted high-single-digit organic growth in the U.S. commercial and industrial channel — SNA's commentary suggests this momentum likely continued into Q2.</w:t>
      </w:r>
    </w:p>
    <w:p>
      <w:pPr>
        <w:pStyle w:val="Heading4"/>
      </w:pPr>
      <w:r>
        <w:rPr>
          <w:rFonts w:ascii="Calibri" w:hAnsi="Calibri"/>
          <w:b/>
          <w:color w:val="3B4259"/>
          <w:sz w:val="22"/>
        </w:rPr>
        <w:t>Shift to "Quicker Payback" Items — Power Tools &amp; Torque</w:t>
      </w:r>
    </w:p>
    <w:p>
      <w:r>
        <w:rPr>
          <w:rFonts w:ascii="Calibri" w:hAnsi="Calibri"/>
          <w:color w:val="525866"/>
          <w:sz w:val="22"/>
        </w:rPr>
        <w:t xml:space="preserve">Pinchuk noted that technicians "remain confidence poor" and "reluctant to take on longer-term obligations on big ticket purchases" (e.g., tool storage), but the "pivot to quicker payback items, the power tools and the torque wrenches in their lineup" is "working." Two-thirds of Tools Group growth was attributed to this pivot. </w:t>
      </w:r>
      <w:r>
        <w:rPr>
          <w:rFonts w:ascii="Calibri" w:hAnsi="Calibri"/>
          <w:b/>
          <w:color w:val="525866"/>
          <w:sz w:val="22"/>
        </w:rPr>
        <w:t>Read-through for SWK:</w:t>
      </w:r>
      <w:r>
        <w:rPr>
          <w:rFonts w:ascii="Calibri" w:hAnsi="Calibri"/>
          <w:color w:val="525866"/>
          <w:sz w:val="22"/>
        </w:rPr>
        <w:t xml:space="preserve"> Positive for SWK's power tool and hand tool categories (DEWALT, STANLEY FatMax). Negative for any large-ticket storage or equipment items. SWK's Q1 call noted that hand tools, accessories, and storage organic revenue declined 3% — SNA's commentary suggests storage weakness may have persisted into Q2, while power tools could be a relative bright spot.</w:t>
      </w:r>
    </w:p>
    <w:p>
      <w:pPr>
        <w:pStyle w:val="Heading4"/>
      </w:pPr>
      <w:r>
        <w:rPr>
          <w:rFonts w:ascii="Calibri" w:hAnsi="Calibri"/>
          <w:b/>
          <w:color w:val="3B4259"/>
          <w:sz w:val="22"/>
        </w:rPr>
        <w:t>Commercial &amp; Industrial: Strong Across Sectors</w:t>
      </w:r>
    </w:p>
    <w:p>
      <w:r>
        <w:rPr>
          <w:rFonts w:ascii="Calibri" w:hAnsi="Calibri"/>
          <w:color w:val="525866"/>
          <w:sz w:val="22"/>
        </w:rPr>
        <w:t xml:space="preserve">SNA's Commercial &amp; Industrial (CNI) Group delivered organic sales up 11%, with "double-digit increases in Asia Pacific, European hand tools, specialty torque and power tools." Critical industries (data centers, aviation, natural resources) are described as "booming." CNI operating margin hit a "new record 16.8%, 330 basis points above last year." </w:t>
      </w:r>
      <w:r>
        <w:rPr>
          <w:rFonts w:ascii="Calibri" w:hAnsi="Calibri"/>
          <w:b/>
          <w:color w:val="525866"/>
          <w:sz w:val="22"/>
        </w:rPr>
        <w:t>Read-through for SWK:</w:t>
      </w:r>
      <w:r>
        <w:rPr>
          <w:rFonts w:ascii="Calibri" w:hAnsi="Calibri"/>
          <w:color w:val="525866"/>
          <w:sz w:val="22"/>
        </w:rPr>
        <w:t xml:space="preserve"> Strongly positive for SWK's commercial and industrial channel. Data center construction demand for precision torque tools is a new growth vector that SNA explicitly called out — SWK's DEWALT and Stanley Engineered Fastening businesses could benefit from the same infrastructure buildout.</w:t>
      </w:r>
    </w:p>
    <w:p>
      <w:pPr>
        <w:pStyle w:val="Heading4"/>
      </w:pPr>
      <w:r>
        <w:rPr>
          <w:rFonts w:ascii="Calibri" w:hAnsi="Calibri"/>
          <w:b/>
          <w:color w:val="3B4259"/>
          <w:sz w:val="22"/>
        </w:rPr>
        <w:t>Tariff Mitigation: Insourcing Working</w:t>
      </w:r>
    </w:p>
    <w:p>
      <w:r>
        <w:rPr>
          <w:rFonts w:ascii="Calibri" w:hAnsi="Calibri"/>
          <w:color w:val="525866"/>
          <w:sz w:val="22"/>
        </w:rPr>
        <w:t xml:space="preserve">SNA described successful insourcing of its 14.4V power tool line from Kunshan, China to its Murphy, NC plant, which "started to help" margins. Diagnostics was "ahead of the curve" on insourcing and "avoiding any kind of tariff entanglements." </w:t>
      </w:r>
      <w:r>
        <w:rPr>
          <w:rFonts w:ascii="Calibri" w:hAnsi="Calibri"/>
          <w:b/>
          <w:color w:val="525866"/>
          <w:sz w:val="22"/>
        </w:rPr>
        <w:t>Read-through for SWK:</w:t>
      </w:r>
      <w:r>
        <w:rPr>
          <w:rFonts w:ascii="Calibri" w:hAnsi="Calibri"/>
          <w:color w:val="525866"/>
          <w:sz w:val="22"/>
        </w:rPr>
        <w:t xml:space="preserve"> Directionally positive — SWK's own China sourcing reduction (&lt;5% of U.S. supply by year-end) and USMCA qualification progress are the same playbook. SNA's success suggests the strategy is executable, though SWK's scale and product breadth make the transition more complex.</w:t>
      </w:r>
    </w:p>
    <w:p>
      <w:pPr>
        <w:pStyle w:val="Heading4"/>
      </w:pPr>
      <w:r>
        <w:rPr>
          <w:rFonts w:ascii="Calibri" w:hAnsi="Calibri"/>
          <w:b/>
          <w:color w:val="3B4259"/>
          <w:sz w:val="22"/>
        </w:rPr>
        <w:t>OEM Dealer Channel: Soft (Limited SWK Read-Through)</w:t>
      </w:r>
    </w:p>
    <w:p>
      <w:r>
        <w:rPr>
          <w:rFonts w:ascii="Calibri" w:hAnsi="Calibri"/>
          <w:color w:val="525866"/>
          <w:sz w:val="22"/>
        </w:rPr>
        <w:t xml:space="preserve">SNA noted "hesitancy for capital expenditures" among OEM dealerships, with automakers having "slowed their program launches." R,S&amp;I organic sales were "up slightly" but momentum was "attenuated by lower volumes in the OEM dealership segment." </w:t>
      </w:r>
      <w:r>
        <w:rPr>
          <w:rFonts w:ascii="Calibri" w:hAnsi="Calibri"/>
          <w:b/>
          <w:color w:val="525866"/>
          <w:sz w:val="22"/>
        </w:rPr>
        <w:t>Read-through for SWK:</w:t>
      </w:r>
      <w:r>
        <w:rPr>
          <w:rFonts w:ascii="Calibri" w:hAnsi="Calibri"/>
          <w:color w:val="525866"/>
          <w:sz w:val="22"/>
        </w:rPr>
        <w:t xml:space="preserve"> Limited direct read-through — SWK does not have meaningful OEM dealership channel exposure. However, automotive OEM softness could indirectly affect SWK's Engineered Fastening segment (automotive fasteners), which delivered 4% organic growth in Q1 2026.</w:t>
      </w:r>
    </w:p>
    <w:p>
      <w:pPr>
        <w:pStyle w:val="Heading3"/>
      </w:pPr>
      <w:r>
        <w:rPr>
          <w:rFonts w:ascii="Calibri" w:hAnsi="Calibri"/>
          <w:b/>
          <w:color w:val="3B4259"/>
          <w:sz w:val="24"/>
        </w:rPr>
        <w:t>8.2 The Toro Company (TTC) — Q2 FY2026 Earnings Call (June 4, 2026)</w:t>
      </w:r>
    </w:p>
    <w:p>
      <w:r>
        <w:rPr>
          <w:rFonts w:ascii="Calibri" w:hAnsi="Calibri"/>
          <w:b/>
          <w:color w:val="525866"/>
          <w:sz w:val="22"/>
        </w:rPr>
        <w:t>Relevance to SWK:</w:t>
      </w:r>
      <w:r>
        <w:rPr>
          <w:rFonts w:ascii="Calibri" w:hAnsi="Calibri"/>
          <w:color w:val="525866"/>
          <w:sz w:val="22"/>
        </w:rPr>
        <w:t xml:space="preserve"> TTC is a direct peer in outdoor power equipment (mowers, underground construction equipment). Its Q2 FY2026 (quarter ended May 2, 2026) covers the April–May 2026 period, which overlaps with the early portion of SWK's Q2 2026 (April–June 2026). TTC's commentary on outdoor demand, channel inventories, tariffs, and residential vs. professional dynamics is directly applicable to SWK's outdoor segment.</w:t>
      </w:r>
    </w:p>
    <w:p>
      <w:r>
        <w:rPr>
          <w:rFonts w:ascii="Calibri" w:hAnsi="Calibri"/>
          <w:b/>
          <w:color w:val="525866"/>
          <w:sz w:val="22"/>
        </w:rPr>
        <w:t>Limitations:</w:t>
      </w:r>
      <w:r>
        <w:rPr>
          <w:rFonts w:ascii="Calibri" w:hAnsi="Calibri"/>
          <w:color w:val="525866"/>
          <w:sz w:val="22"/>
        </w:rPr>
        <w:t xml:space="preserve"> TTC's fiscal quarter ends in early May, so its commentary covers only the first ~5 weeks of SWK's Q2 2026. TTC's outdoor product mix (golf, grounds, underground construction, residential mowers) differs from SWK's (primarily power tools with outdoor as a secondary segment). TTC does not have meaningful power tool exposure. SWK is also executing a strategic shift to a licensed model for gas walk-behind mowers, which reduces its direct overlap with TTC's residential mower business.</w:t>
      </w:r>
    </w:p>
    <w:p>
      <w:pPr>
        <w:pStyle w:val="Heading4"/>
      </w:pPr>
      <w:r>
        <w:rPr>
          <w:rFonts w:ascii="Calibri" w:hAnsi="Calibri"/>
          <w:b/>
          <w:color w:val="3B4259"/>
          <w:sz w:val="22"/>
        </w:rPr>
        <w:t>Professional Outdoor: Strong Demand, Lean Inventories</w:t>
      </w:r>
    </w:p>
    <w:p>
      <w:r>
        <w:rPr>
          <w:rFonts w:ascii="Calibri" w:hAnsi="Calibri"/>
          <w:color w:val="525866"/>
          <w:sz w:val="22"/>
        </w:rPr>
        <w:t xml:space="preserve">TTC reported Professional net sales up 9%, with "mid-single-digit sales growth in golf and grounds," "high single-digit growth in landscape contractor," and "low double-digit organic growth in underground and specialty construction." Channel inventories for landscape contractor and residential are "somewhat below desired levels," particularly for zero-turn mowers, while underground and golf are "largely normalized." Sell-through was "very strong." </w:t>
      </w:r>
      <w:r>
        <w:rPr>
          <w:rFonts w:ascii="Calibri" w:hAnsi="Calibri"/>
          <w:b/>
          <w:color w:val="525866"/>
          <w:sz w:val="22"/>
        </w:rPr>
        <w:t>Read-through for SWK:</w:t>
      </w:r>
      <w:r>
        <w:rPr>
          <w:rFonts w:ascii="Calibri" w:hAnsi="Calibri"/>
          <w:color w:val="525866"/>
          <w:sz w:val="22"/>
        </w:rPr>
        <w:t xml:space="preserve"> Positive for SWK's outdoor professional segment. Lean channel inventories and strong sell-through suggest healthy underlying demand for professional outdoor equipment heading into the summer selling season — consistent with SWK's Q1 2026 commentary on encouraging outdoor preseason sales.</w:t>
      </w:r>
    </w:p>
    <w:p>
      <w:pPr>
        <w:pStyle w:val="Heading4"/>
      </w:pPr>
      <w:r>
        <w:rPr>
          <w:rFonts w:ascii="Calibri" w:hAnsi="Calibri"/>
          <w:b/>
          <w:color w:val="3B4259"/>
          <w:sz w:val="22"/>
        </w:rPr>
        <w:t>Residential Outdoor: Flat, Consumer Caution Persists</w:t>
      </w:r>
    </w:p>
    <w:p>
      <w:r>
        <w:rPr>
          <w:rFonts w:ascii="Calibri" w:hAnsi="Calibri"/>
          <w:color w:val="525866"/>
          <w:sz w:val="22"/>
        </w:rPr>
        <w:t xml:space="preserve">TTC guided full-year residential sales to be "about flat," noting that "true homeowner" customers are "probably buying down" and those at the lower end of the prosumer range are "a little bit more cautious." European residential remains "soft." However, TTC noted that products purchased in 2020 are "reaching the age of replacement" for some customers, which "should start to at least not be a headwind" in 2027. </w:t>
      </w:r>
      <w:r>
        <w:rPr>
          <w:rFonts w:ascii="Calibri" w:hAnsi="Calibri"/>
          <w:b/>
          <w:color w:val="525866"/>
          <w:sz w:val="22"/>
        </w:rPr>
        <w:t>Read-through for SWK:</w:t>
      </w:r>
      <w:r>
        <w:rPr>
          <w:rFonts w:ascii="Calibri" w:hAnsi="Calibri"/>
          <w:color w:val="525866"/>
          <w:sz w:val="22"/>
        </w:rPr>
        <w:t xml:space="preserve"> Consistent with SWK's own guidance for continued North American retail volume headwinds in Q2 2026. The 2027 replacement cycle tailwind is also consistent with SWK's expectation that CRAFTSMAN pivots to growth in 2027. No incremental negative surprise here — the softness is already in SWK's guidance.</w:t>
      </w:r>
    </w:p>
    <w:p>
      <w:pPr>
        <w:pStyle w:val="Heading4"/>
      </w:pPr>
      <w:r>
        <w:rPr>
          <w:rFonts w:ascii="Calibri" w:hAnsi="Calibri"/>
          <w:b/>
          <w:color w:val="3B4259"/>
          <w:sz w:val="22"/>
        </w:rPr>
        <w:t>Tariffs &amp; Inflation: Gross Tariff Estimate Raised, Net Impact Manageable</w:t>
      </w:r>
    </w:p>
    <w:p>
      <w:r>
        <w:rPr>
          <w:rFonts w:ascii="Calibri" w:hAnsi="Calibri"/>
          <w:color w:val="525866"/>
          <w:sz w:val="22"/>
        </w:rPr>
        <w:t xml:space="preserve">TTC raised its gross tariff estimate to $120M (from $100M) but anticipates a ~$20M refund during the fiscal year, making the net impact "negligible" to full-year guidance. The company flagged "new headwinds from material and fuel inflation" of ~$0.16/share, offset by $0.16 of productivity and pricing favorability. Critically, TTC noted that "pressures from inflation and tariffs will be more acute in Q3 as the mitigation actions we're taking will not be fully in place until Q4." </w:t>
      </w:r>
      <w:r>
        <w:rPr>
          <w:rFonts w:ascii="Calibri" w:hAnsi="Calibri"/>
          <w:b/>
          <w:color w:val="525866"/>
          <w:sz w:val="22"/>
        </w:rPr>
        <w:t>Read-through for SWK:</w:t>
      </w:r>
      <w:r>
        <w:rPr>
          <w:rFonts w:ascii="Calibri" w:hAnsi="Calibri"/>
          <w:color w:val="525866"/>
          <w:sz w:val="22"/>
        </w:rPr>
        <w:t xml:space="preserve"> The Q3 tariff/inflation pressure timing comment is directly relevant to SWK's H2 2026 gross margin ramp. SWK guided to ~200 bps of H2 gross margin improvement (vs. ~150 bps in H1) — TTC's experience suggests the back-half ramp is achievable but requires mitigation actions to be fully in place, which SWK has been executing (USMCA qualification, China sourcing reduction). The tariff refund dynamic (Section 122 to Section 301 transition) is also consistent with SWK's base case.</w:t>
      </w:r>
    </w:p>
    <w:p>
      <w:pPr>
        <w:pStyle w:val="Heading4"/>
      </w:pPr>
      <w:r>
        <w:rPr>
          <w:rFonts w:ascii="Calibri" w:hAnsi="Calibri"/>
          <w:b/>
          <w:color w:val="3B4259"/>
          <w:sz w:val="22"/>
        </w:rPr>
        <w:t>Margin Expansion: Productivity Programs Delivering</w:t>
      </w:r>
    </w:p>
    <w:p>
      <w:r>
        <w:rPr>
          <w:rFonts w:ascii="Calibri" w:hAnsi="Calibri"/>
          <w:color w:val="525866"/>
          <w:sz w:val="22"/>
        </w:rPr>
        <w:t xml:space="preserve">TTC's AMP productivity program is "on track to deliver $125M in run rate savings by the end of this fiscal year" and is "continuing to exceed expectations." Adjusted operating margins of 14.4% were the "highest in the past 12 quarters." Professional margins improved to over 20% and residential margins improved to nearly 10%. </w:t>
      </w:r>
      <w:r>
        <w:rPr>
          <w:rFonts w:ascii="Calibri" w:hAnsi="Calibri"/>
          <w:b/>
          <w:color w:val="525866"/>
          <w:sz w:val="22"/>
        </w:rPr>
        <w:t>Read-through for SWK:</w:t>
      </w:r>
      <w:r>
        <w:rPr>
          <w:rFonts w:ascii="Calibri" w:hAnsi="Calibri"/>
          <w:color w:val="525866"/>
          <w:sz w:val="22"/>
        </w:rPr>
        <w:t xml:space="preserve"> Positive signal that productivity-driven margin expansion is achievable in the current environment. SWK's own three-lever productivity framework (lean/labor, footprint consolidation, component platforming) is analogous to TTC's AMP program. TTC's execution provides confidence that SWK's ~300 bps Q2 gross margin improvement target is achievable.</w:t>
      </w:r>
    </w:p>
    <w:p>
      <w:pPr>
        <w:pStyle w:val="Heading3"/>
      </w:pPr>
      <w:r>
        <w:rPr>
          <w:rFonts w:ascii="Calibri" w:hAnsi="Calibri"/>
          <w:b/>
          <w:color w:val="3B4259"/>
          <w:sz w:val="24"/>
        </w:rPr>
        <w:t>8.3 Broader Industrial Peer Read-Throughs (Q2 2026 Earnings Season)</w:t>
      </w:r>
    </w:p>
    <w:p>
      <w:r>
        <w:rPr>
          <w:rFonts w:ascii="Calibri" w:hAnsi="Calibri"/>
          <w:b/>
          <w:color w:val="525866"/>
          <w:sz w:val="22"/>
        </w:rPr>
        <w:t>Relevance to SWK:</w:t>
      </w:r>
      <w:r>
        <w:rPr>
          <w:rFonts w:ascii="Calibri" w:hAnsi="Calibri"/>
          <w:color w:val="525866"/>
          <w:sz w:val="22"/>
        </w:rPr>
        <w:t xml:space="preserve"> The following peers reported Q2 2026 results in the July 21–28, 2026 window, providing contemporaneous read-throughs on industrial demand, pricing, tariffs, and margin trends. These are not direct tool/outdoor peers but share SWK's industrial manufacturing and distribution characteristics.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Q2 2026 Commentary (Forward-Looking / Current Quarter)</w:t>
            </w:r>
          </w:p>
        </w:tc>
        <w:tc>
          <w:tcPr>
            <w:tcW w:type="dxa" w:w="2160"/>
            <w:shd w:val="clear" w:color="auto" w:fill="3B4259"/>
          </w:tcPr>
          <w:p>
            <w:r>
              <w:rPr>
                <w:rFonts w:ascii="Calibri" w:hAnsi="Calibri"/>
                <w:b/>
                <w:color w:val="FFFFFF"/>
                <w:sz w:val="22"/>
              </w:rPr>
              <w:t>SWK Read-Through</w:t>
            </w:r>
          </w:p>
        </w:tc>
      </w:tr>
      <w:tr>
        <w:tc>
          <w:tcPr>
            <w:tcW w:type="dxa" w:w="2160"/>
          </w:tcPr>
          <w:p>
            <w:r>
              <w:rPr>
                <w:rFonts w:ascii="Calibri" w:hAnsi="Calibri"/>
                <w:sz w:val="22"/>
              </w:rPr>
              <w:t>3M (MMM)</w:t>
            </w:r>
          </w:p>
        </w:tc>
        <w:tc>
          <w:tcPr>
            <w:tcW w:type="dxa" w:w="2160"/>
          </w:tcPr>
          <w:p>
            <w:r>
              <w:rPr>
                <w:rFonts w:ascii="Calibri" w:hAnsi="Calibri"/>
                <w:sz w:val="22"/>
              </w:rPr>
              <w:t>Jul 21, 2026</w:t>
            </w:r>
          </w:p>
        </w:tc>
        <w:tc>
          <w:tcPr>
            <w:tcW w:type="dxa" w:w="2160"/>
          </w:tcPr>
          <w:p>
            <w:r>
              <w:rPr>
                <w:rFonts w:ascii="Calibri" w:hAnsi="Calibri"/>
                <w:sz w:val="22"/>
              </w:rPr>
              <w:t>Q2 adj. EPS $2.40 vs. $2.25 est.; 5.4% organic growth vs. 3.2% est.; Safety &amp; Industrial and Transportation &amp; Electronics strong; raised FY EPS to $8.80–$8.95 from $8.50–$8.70. Cost cuts, price hikes, and new products driving margin resilience.</w:t>
            </w:r>
          </w:p>
        </w:tc>
        <w:tc>
          <w:tcPr>
            <w:tcW w:type="dxa" w:w="2160"/>
          </w:tcPr>
          <w:p>
            <w:r>
              <w:rPr>
                <w:rFonts w:ascii="Calibri" w:hAnsi="Calibri"/>
                <w:b/>
                <w:color w:val="30A46C"/>
                <w:sz w:val="22"/>
              </w:rPr>
              <w:t>Positive. MMM's Safety &amp; Industrial strength (overlaps with SWK's commercial/industrial channel) and successful pricing/productivity combination validates SWK's margin expansion approach.</w:t>
            </w:r>
          </w:p>
        </w:tc>
      </w:tr>
      <w:tr>
        <w:tc>
          <w:tcPr>
            <w:tcW w:type="dxa" w:w="2160"/>
          </w:tcPr>
          <w:p>
            <w:r>
              <w:rPr>
                <w:rFonts w:ascii="Calibri" w:hAnsi="Calibri"/>
                <w:sz w:val="22"/>
              </w:rPr>
              <w:t>Honeywell Technologies (HON)</w:t>
            </w:r>
          </w:p>
        </w:tc>
        <w:tc>
          <w:tcPr>
            <w:tcW w:type="dxa" w:w="2160"/>
          </w:tcPr>
          <w:p>
            <w:r>
              <w:rPr>
                <w:rFonts w:ascii="Calibri" w:hAnsi="Calibri"/>
                <w:sz w:val="22"/>
              </w:rPr>
              <w:t>Jul 23, 2026</w:t>
            </w:r>
          </w:p>
        </w:tc>
        <w:tc>
          <w:tcPr>
            <w:tcW w:type="dxa" w:w="2160"/>
          </w:tcPr>
          <w:p>
            <w:r>
              <w:rPr>
                <w:rFonts w:ascii="Calibri" w:hAnsi="Calibri"/>
                <w:sz w:val="22"/>
              </w:rPr>
              <w:t>Q2 adj. EPS $1.95 vs. $1.82 est.; sales $5.2B vs. $5.0B est.; building automation +9%, industrial automation +4%; orders +16% (outpacing sales); raised FY EPS to ~$8.20. Stock +5.7%.</w:t>
            </w:r>
          </w:p>
        </w:tc>
        <w:tc>
          <w:tcPr>
            <w:tcW w:type="dxa" w:w="2160"/>
          </w:tcPr>
          <w:p>
            <w:r>
              <w:rPr>
                <w:rFonts w:ascii="Calibri" w:hAnsi="Calibri"/>
                <w:b/>
                <w:color w:val="30A46C"/>
                <w:sz w:val="22"/>
              </w:rPr>
              <w:t>Positive. Orders outpacing sales (+16%) signals healthy forward demand in industrial automation and building systems — consistent with SWK's commercial/industrial channel strength.</w:t>
            </w:r>
          </w:p>
        </w:tc>
      </w:tr>
      <w:tr>
        <w:tc>
          <w:tcPr>
            <w:tcW w:type="dxa" w:w="2160"/>
          </w:tcPr>
          <w:p>
            <w:r>
              <w:rPr>
                <w:rFonts w:ascii="Calibri" w:hAnsi="Calibri"/>
                <w:sz w:val="22"/>
              </w:rPr>
              <w:t>Allegion (ALLE)</w:t>
            </w:r>
          </w:p>
        </w:tc>
        <w:tc>
          <w:tcPr>
            <w:tcW w:type="dxa" w:w="2160"/>
          </w:tcPr>
          <w:p>
            <w:r>
              <w:rPr>
                <w:rFonts w:ascii="Calibri" w:hAnsi="Calibri"/>
                <w:sz w:val="22"/>
              </w:rPr>
              <w:t>Jul 23, 2026</w:t>
            </w:r>
          </w:p>
        </w:tc>
        <w:tc>
          <w:tcPr>
            <w:tcW w:type="dxa" w:w="2160"/>
          </w:tcPr>
          <w:p>
            <w:r>
              <w:rPr>
                <w:rFonts w:ascii="Calibri" w:hAnsi="Calibri"/>
                <w:sz w:val="22"/>
              </w:rPr>
              <w:t>Q2 adj. EPS $2.40 vs. $2.22 est.; revenue +13% to $1.15B vs. $1.12B est.; Americas organic growth strong; raised FY EPS to $8.85–$9.00. Stock +13%. CEO cited strong demand for electronic security systems.</w:t>
            </w:r>
          </w:p>
        </w:tc>
        <w:tc>
          <w:tcPr>
            <w:tcW w:type="dxa" w:w="2160"/>
          </w:tcPr>
          <w:p>
            <w:r>
              <w:rPr>
                <w:rFonts w:ascii="Calibri" w:hAnsi="Calibri"/>
                <w:b/>
                <w:color w:val="30A46C"/>
                <w:sz w:val="22"/>
              </w:rPr>
              <w:t>Positive. Americas commercial construction and renovation demand is healthy — positive for SWK's professional tool demand in construction end markets.</w:t>
            </w:r>
          </w:p>
        </w:tc>
      </w:tr>
      <w:tr>
        <w:tc>
          <w:tcPr>
            <w:tcW w:type="dxa" w:w="2160"/>
          </w:tcPr>
          <w:p>
            <w:r>
              <w:rPr>
                <w:rFonts w:ascii="Calibri" w:hAnsi="Calibri"/>
                <w:sz w:val="22"/>
              </w:rPr>
              <w:t>United Rentals (URI)</w:t>
            </w:r>
          </w:p>
        </w:tc>
        <w:tc>
          <w:tcPr>
            <w:tcW w:type="dxa" w:w="2160"/>
          </w:tcPr>
          <w:p>
            <w:r>
              <w:rPr>
                <w:rFonts w:ascii="Calibri" w:hAnsi="Calibri"/>
                <w:sz w:val="22"/>
              </w:rPr>
              <w:t>Jul 22–23, 2026</w:t>
            </w:r>
          </w:p>
        </w:tc>
        <w:tc>
          <w:tcPr>
            <w:tcW w:type="dxa" w:w="2160"/>
          </w:tcPr>
          <w:p>
            <w:r>
              <w:rPr>
                <w:rFonts w:ascii="Calibri" w:hAnsi="Calibri"/>
                <w:sz w:val="22"/>
              </w:rPr>
              <w:t>Q2 sales $4.41B vs. $4.21B est.; EBITDA $2.056B vs. $1.91B est.; raised FY EBITDA guidance to $7.975–$8.125B from $7.625–$7.875B. Management: customers "optimistic about large projects."</w:t>
            </w:r>
          </w:p>
        </w:tc>
        <w:tc>
          <w:tcPr>
            <w:tcW w:type="dxa" w:w="2160"/>
          </w:tcPr>
          <w:p>
            <w:r>
              <w:rPr>
                <w:rFonts w:ascii="Calibri" w:hAnsi="Calibri"/>
                <w:b/>
                <w:color w:val="30A46C"/>
                <w:sz w:val="22"/>
              </w:rPr>
              <w:t>Positive. Large project optimism and strong equipment rental demand is a leading indicator for professional tool demand. URI's beat-and-raise is the strongest signal of healthy construction end markets.</w:t>
            </w:r>
          </w:p>
        </w:tc>
      </w:tr>
      <w:tr>
        <w:tc>
          <w:tcPr>
            <w:tcW w:type="dxa" w:w="2160"/>
          </w:tcPr>
          <w:p>
            <w:r>
              <w:rPr>
                <w:rFonts w:ascii="Calibri" w:hAnsi="Calibri"/>
                <w:sz w:val="22"/>
              </w:rPr>
              <w:t>Carrier Global (CARR)</w:t>
            </w:r>
          </w:p>
        </w:tc>
        <w:tc>
          <w:tcPr>
            <w:tcW w:type="dxa" w:w="2160"/>
          </w:tcPr>
          <w:p>
            <w:r>
              <w:rPr>
                <w:rFonts w:ascii="Calibri" w:hAnsi="Calibri"/>
                <w:sz w:val="22"/>
              </w:rPr>
              <w:t>Jul 28, 2026</w:t>
            </w:r>
          </w:p>
        </w:tc>
        <w:tc>
          <w:tcPr>
            <w:tcW w:type="dxa" w:w="2160"/>
          </w:tcPr>
          <w:p>
            <w:r>
              <w:rPr>
                <w:rFonts w:ascii="Calibri" w:hAnsi="Calibri"/>
                <w:sz w:val="22"/>
              </w:rPr>
              <w:t>Q2 EPS $0.86 vs. $0.82 est.; 3% organic growth vs. -2% est.; total orders +~40%, commercial HVAC +~65%, data center orders +300%+; raised FY EPS to $2.90 (from $2.80) and sales to $23B (from $22B).</w:t>
            </w:r>
          </w:p>
        </w:tc>
        <w:tc>
          <w:tcPr>
            <w:tcW w:type="dxa" w:w="2160"/>
          </w:tcPr>
          <w:p>
            <w:r>
              <w:rPr>
                <w:rFonts w:ascii="Calibri" w:hAnsi="Calibri"/>
                <w:b/>
                <w:color w:val="30A46C"/>
                <w:sz w:val="22"/>
              </w:rPr>
              <w:t>Positive. Data center and commercial HVAC construction boom is a tailwind for SWK's professional tools used in HVAC installation and commercial construction.</w:t>
            </w:r>
          </w:p>
        </w:tc>
      </w:tr>
      <w:tr>
        <w:tc>
          <w:tcPr>
            <w:tcW w:type="dxa" w:w="2160"/>
          </w:tcPr>
          <w:p>
            <w:r>
              <w:rPr>
                <w:rFonts w:ascii="Calibri" w:hAnsi="Calibri"/>
                <w:sz w:val="22"/>
              </w:rPr>
              <w:t>Pentair (PNR)</w:t>
            </w:r>
          </w:p>
        </w:tc>
        <w:tc>
          <w:tcPr>
            <w:tcW w:type="dxa" w:w="2160"/>
          </w:tcPr>
          <w:p>
            <w:r>
              <w:rPr>
                <w:rFonts w:ascii="Calibri" w:hAnsi="Calibri"/>
                <w:sz w:val="22"/>
              </w:rPr>
              <w:t>Jul 14–15, 2026</w:t>
            </w:r>
          </w:p>
        </w:tc>
        <w:tc>
          <w:tcPr>
            <w:tcW w:type="dxa" w:w="2160"/>
          </w:tcPr>
          <w:p>
            <w:r>
              <w:rPr>
                <w:rFonts w:ascii="Calibri" w:hAnsi="Calibri"/>
                <w:sz w:val="22"/>
              </w:rPr>
              <w:t>Negative pre-announcement: Q2 sales down 17% YoY vs. Street +1%; EPS $1.12 vs. $1.47 est.; full-year sales now down 4–7% (vs. prior +2–4%); pool inventory destocking far worse than expected. CFO resigned.</w:t>
            </w:r>
          </w:p>
        </w:tc>
        <w:tc>
          <w:tcPr>
            <w:tcW w:type="dxa" w:w="2160"/>
          </w:tcPr>
          <w:p>
            <w:r>
              <w:rPr>
                <w:rFonts w:ascii="Calibri" w:hAnsi="Calibri"/>
                <w:b/>
                <w:color w:val="E5484D"/>
                <w:sz w:val="22"/>
              </w:rPr>
              <w:t>Cautionary. Pool/residential outdoor destocking is worse than expected. Limited direct SWK read-through (SWK is not in pool), but signals continued consumer caution in residential outdoor spending.</w:t>
            </w:r>
          </w:p>
        </w:tc>
      </w:tr>
      <w:tr>
        <w:tc>
          <w:tcPr>
            <w:tcW w:type="dxa" w:w="2160"/>
          </w:tcPr>
          <w:p>
            <w:r>
              <w:rPr>
                <w:rFonts w:ascii="Calibri" w:hAnsi="Calibri"/>
                <w:sz w:val="22"/>
              </w:rPr>
              <w:t>Pool Corp. (POOL)</w:t>
            </w:r>
          </w:p>
        </w:tc>
        <w:tc>
          <w:tcPr>
            <w:tcW w:type="dxa" w:w="2160"/>
          </w:tcPr>
          <w:p>
            <w:r>
              <w:rPr>
                <w:rFonts w:ascii="Calibri" w:hAnsi="Calibri"/>
                <w:sz w:val="22"/>
              </w:rPr>
              <w:t>Jul 23, 2026</w:t>
            </w:r>
          </w:p>
        </w:tc>
        <w:tc>
          <w:tcPr>
            <w:tcW w:type="dxa" w:w="2160"/>
          </w:tcPr>
          <w:p>
            <w:r>
              <w:rPr>
                <w:rFonts w:ascii="Calibri" w:hAnsi="Calibri"/>
                <w:sz w:val="22"/>
              </w:rPr>
              <w:t>Q2 EPS $5.38 vs. $5.33 est.; revenue $1.822B vs. $1.81B est.; reaffirmed prior full-year guidance. Modest beat, no raise.</w:t>
            </w:r>
          </w:p>
        </w:tc>
        <w:tc>
          <w:tcPr>
            <w:tcW w:type="dxa" w:w="2160"/>
          </w:tcPr>
          <w:p>
            <w:r>
              <w:rPr>
                <w:rFonts w:ascii="Calibri" w:hAnsi="Calibri"/>
                <w:sz w:val="22"/>
              </w:rPr>
              <w:t>Neutral. Pool distribution is stabilizing but not accelerating. Consistent with SWK's view of a flat residential outdoor market.</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