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SWKS before writing the preview. Let me gather recent earnings, guidance, and news in parallel.Let me read the most recent earnings call (Q2 2026) which contains the Q3 guidance, plus the release and recent price action.The earnings release fileptr returned a Qorvo 10-K (merger partner data) — useful context. Now let me get recent stock price action and any recent merger/news developments.Let me quickly grab the prior-year Q3 (FY2025) figures for a YoY comparison and check the debt-exchange 8-K context.I have what I need. Here's the earnings preview.</w:t>
      </w:r>
    </w:p>
    <w:p>
      <w:r>
        <w:pict>
          <v:rect style="width:0;height:1.5pt" o:hralign="center" o:hrstd="t" o:hr="t"/>
        </w:pict>
      </w:r>
    </w:p>
    <w:bookmarkStart w:id="17" w:name="Xe01718a1b9033d5d0b2f275bacbd8b66b861961"/>
    <w:p>
      <w:pPr>
        <w:pStyle w:val="Heading1"/>
      </w:pPr>
      <w:r>
        <w:t xml:space="preserve">Skyworks Solutions (SWKS) — Q3 FY2026 Earnings Preview</w:t>
      </w:r>
    </w:p>
    <w:bookmarkStart w:id="9" w:name="Xbce964059b5b8a6ff7b14195775e4240626dfc6"/>
    <w:p>
      <w:pPr>
        <w:pStyle w:val="Heading3"/>
      </w:pPr>
      <w:r>
        <w:t xml:space="preserve">Reports after the close, Tuesday, July 28, 2026 · Fiscal Q3 (June quarter)</w:t>
      </w:r>
    </w:p>
    <w:bookmarkEnd w:id="9"/>
    <w:bookmarkStart w:id="10" w:name="the-one-line-setup"/>
    <w:p>
      <w:pPr>
        <w:pStyle w:val="Heading2"/>
      </w:pPr>
      <w:r>
        <w:t xml:space="preserve">The one-line setup</w:t>
      </w:r>
    </w:p>
    <w:p>
      <w:pPr>
        <w:pStyle w:val="FirstParagraph"/>
      </w:pPr>
      <w:r>
        <w:t xml:space="preserve">This is a "prove the transition" quarter reported through the lens of a pending mega-merger. Skyworks is being acquired by/merging with Qorvo, and management has said it</w:t>
      </w:r>
      <w:r>
        <w:t xml:space="preserve"> </w:t>
      </w:r>
      <w:r>
        <w:rPr>
          <w:b/>
          <w:bCs/>
        </w:rPr>
        <w:t xml:space="preserve">will not discuss the transaction on the call</w:t>
      </w:r>
      <w:r>
        <w:t xml:space="preserve"> </w:t>
      </w:r>
      <w:r>
        <w:t xml:space="preserve">— so the print itself comes down to (1) whether standalone June-quarter execution holds, and (2) the</w:t>
      </w:r>
      <w:r>
        <w:t xml:space="preserve"> </w:t>
      </w:r>
      <w:r>
        <w:rPr>
          <w:b/>
          <w:bCs/>
        </w:rPr>
        <w:t xml:space="preserve">September-quarter (Q4) guide</w:t>
      </w:r>
      <w:r>
        <w:t xml:space="preserve">, which is the seasonally critical iPhone-ramp quarter. Everything else is secondary to merger timing headlines.</w:t>
      </w:r>
    </w:p>
    <w:p>
      <w:r>
        <w:pict>
          <v:rect style="width:0;height:1.5pt" o:hralign="center" o:hrstd="t" o:hr="t"/>
        </w:pict>
      </w:r>
    </w:p>
    <w:bookmarkEnd w:id="10"/>
    <w:bookmarkStart w:id="11" w:name="whats-already-guided-the-bar-to-clear"/>
    <w:p>
      <w:pPr>
        <w:pStyle w:val="Heading2"/>
      </w:pPr>
      <w:r>
        <w:t xml:space="preserve">What's already guided (the bar to clear)</w:t>
      </w:r>
    </w:p>
    <w:p>
      <w:pPr>
        <w:pStyle w:val="FirstParagraph"/>
      </w:pPr>
      <w:r>
        <w:t xml:space="preserve">On the May 5 call, Skyworks guided fiscal Q3 (this report) to:</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Q3 FY26 Guide (midpoint)</w:t>
            </w:r>
          </w:p>
        </w:tc>
        <w:tc>
          <w:tcPr/>
          <w:p>
            <w:pPr>
              <w:pStyle w:val="Compact"/>
            </w:pPr>
            <w:r>
              <w:t xml:space="preserve">Q2 FY26 Actual</w:t>
            </w:r>
          </w:p>
        </w:tc>
        <w:tc>
          <w:tcPr/>
          <w:p>
            <w:pPr>
              <w:pStyle w:val="Compact"/>
            </w:pPr>
            <w:r>
              <w:t xml:space="preserve">Q3 FY25 (YoY comp)</w:t>
            </w:r>
          </w:p>
        </w:tc>
      </w:tr>
      <w:tr>
        <w:tc>
          <w:tcPr/>
          <w:p>
            <w:pPr>
              <w:pStyle w:val="Compact"/>
            </w:pPr>
            <w:r>
              <w:t xml:space="preserve">Revenue</w:t>
            </w:r>
          </w:p>
        </w:tc>
        <w:tc>
          <w:tcPr/>
          <w:p>
            <w:pPr>
              <w:pStyle w:val="Compact"/>
            </w:pPr>
            <m:oMath>
              <m:r>
                <m:t>900</m:t>
              </m:r>
              <m:r>
                <m:rPr>
                  <m:sty m:val="p"/>
                </m:rPr>
                <m:t>–</m:t>
              </m:r>
              <m:r>
                <m:t>950</m:t>
              </m:r>
              <m:r>
                <m:t>M</m:t>
              </m:r>
              <m:r>
                <m:rPr>
                  <m:sty m:val="p"/>
                </m:rPr>
                <m:t>(</m:t>
              </m:r>
            </m:oMath>
            <w:r>
              <w:rPr>
                <w:b/>
                <w:bCs/>
              </w:rPr>
              <w:t xml:space="preserve">925M)</w:t>
            </w:r>
          </w:p>
        </w:tc>
        <w:tc>
          <w:tcPr/>
          <w:p>
            <w:pPr>
              <w:pStyle w:val="Compact"/>
            </w:pPr>
            <w:r>
              <w:t xml:space="preserve">$944M</w:t>
            </w:r>
          </w:p>
        </w:tc>
        <w:tc>
          <w:tcPr/>
          <w:p>
            <w:pPr>
              <w:pStyle w:val="Compact"/>
            </w:pPr>
            <w:r>
              <w:t xml:space="preserve">$965M</w:t>
            </w:r>
          </w:p>
        </w:tc>
      </w:tr>
      <w:tr>
        <w:tc>
          <w:tcPr/>
          <w:p>
            <w:pPr>
              <w:pStyle w:val="Compact"/>
            </w:pPr>
            <w:r>
              <w:t xml:space="preserve">Non-GAAP EPS</w:t>
            </w:r>
          </w:p>
        </w:tc>
        <w:tc>
          <w:tcPr/>
          <w:p>
            <w:pPr>
              <w:pStyle w:val="Compact"/>
            </w:pPr>
            <w:r>
              <w:rPr>
                <w:b/>
                <w:bCs/>
              </w:rPr>
              <w:t xml:space="preserve">$1.03</w:t>
            </w:r>
          </w:p>
        </w:tc>
        <w:tc>
          <w:tcPr/>
          <w:p>
            <w:pPr>
              <w:pStyle w:val="Compact"/>
            </w:pPr>
            <w:r>
              <w:t xml:space="preserve">$1.15</w:t>
            </w:r>
          </w:p>
        </w:tc>
        <w:tc>
          <w:tcPr/>
          <w:p>
            <w:pPr>
              <w:pStyle w:val="Compact"/>
            </w:pPr>
            <w:r>
              <w:t xml:space="preserve">$1.33</w:t>
            </w:r>
          </w:p>
        </w:tc>
      </w:tr>
      <w:tr>
        <w:tc>
          <w:tcPr/>
          <w:p>
            <w:pPr>
              <w:pStyle w:val="Compact"/>
            </w:pPr>
            <w:r>
              <w:t xml:space="preserve">Gross margin</w:t>
            </w:r>
          </w:p>
        </w:tc>
        <w:tc>
          <w:tcPr/>
          <w:p>
            <w:pPr>
              <w:pStyle w:val="Compact"/>
            </w:pPr>
            <w:r>
              <w:rPr>
                <w:b/>
                <w:bCs/>
              </w:rPr>
              <w:t xml:space="preserve">44.5%–45.5%</w:t>
            </w:r>
          </w:p>
        </w:tc>
        <w:tc>
          <w:tcPr/>
          <w:p>
            <w:pPr>
              <w:pStyle w:val="Compact"/>
            </w:pPr>
            <w:r>
              <w:t xml:space="preserve">45.0%</w:t>
            </w:r>
          </w:p>
        </w:tc>
        <w:tc>
          <w:tcPr/>
          <w:p>
            <w:pPr>
              <w:pStyle w:val="Compact"/>
            </w:pPr>
            <w:r>
              <w:t xml:space="preserve">47.1%</w:t>
            </w:r>
          </w:p>
        </w:tc>
      </w:tr>
      <w:tr>
        <w:tc>
          <w:tcPr/>
          <w:p>
            <w:pPr>
              <w:pStyle w:val="Compact"/>
            </w:pPr>
            <w:r>
              <w:t xml:space="preserve">Operating expenses</w:t>
            </w:r>
          </w:p>
        </w:tc>
        <w:tc>
          <w:tcPr/>
          <w:p>
            <w:pPr>
              <w:pStyle w:val="Compact"/>
            </w:pPr>
            <w:r>
              <w:t xml:space="preserve">$235–245M</w:t>
            </w:r>
          </w:p>
        </w:tc>
        <w:tc>
          <w:tcPr/>
          <w:p>
            <w:pPr>
              <w:pStyle w:val="Compact"/>
            </w:pPr>
            <w:r>
              <w:t xml:space="preserve">$236M</w:t>
            </w:r>
          </w:p>
        </w:tc>
        <w:tc>
          <w:tcPr/>
          <w:p>
            <w:pPr>
              <w:pStyle w:val="Compact"/>
            </w:pPr>
            <w:r>
              <w:t xml:space="preserve">$230M</w:t>
            </w:r>
          </w:p>
        </w:tc>
      </w:tr>
      <w:tr>
        <w:tc>
          <w:tcPr/>
          <w:p>
            <w:pPr>
              <w:pStyle w:val="Compact"/>
            </w:pPr>
            <w:r>
              <w:t xml:space="preserve">Tax rate / shares</w:t>
            </w:r>
          </w:p>
        </w:tc>
        <w:tc>
          <w:tcPr/>
          <w:p>
            <w:pPr>
              <w:pStyle w:val="Compact"/>
            </w:pPr>
            <w:r>
              <w:t xml:space="preserve">10% / 151M</w:t>
            </w:r>
          </w:p>
        </w:tc>
        <w:tc>
          <w:tcPr/>
          <w:p>
            <w:pPr>
              <w:pStyle w:val="Compact"/>
            </w:pPr>
            <w:r>
              <w:t xml:space="preserve">10% / —</w:t>
            </w:r>
          </w:p>
        </w:tc>
        <w:tc>
          <w:tcPr/>
          <w:p>
            <w:pPr>
              <w:pStyle w:val="Compact"/>
            </w:pPr>
            <w:r>
              <w:t xml:space="preserve">—</w:t>
            </w:r>
          </w:p>
        </w:tc>
      </w:tr>
    </w:tbl>
    <w:p>
      <w:pPr>
        <w:pStyle w:val="BodyText"/>
      </w:pPr>
      <w:r>
        <w:t xml:space="preserve">Two things stand out. First,</w:t>
      </w:r>
      <w:r>
        <w:t xml:space="preserve"> </w:t>
      </w:r>
      <w:r>
        <w:rPr>
          <w:b/>
          <w:bCs/>
        </w:rPr>
        <w:t xml:space="preserve">the guide is a year-over-year decline</w:t>
      </w:r>
      <w:r>
        <w:t xml:space="preserve"> </w:t>
      </w:r>
      <w:r>
        <w:t xml:space="preserve">— roughly -4% on revenue, ~-23% on EPS, and ~200bps of gross-margin compression versus the June quarter a year ago. That reflects a lower content position at the largest customer plus rising input costs. Second, within the guide,</w:t>
      </w:r>
      <w:r>
        <w:t xml:space="preserve"> </w:t>
      </w:r>
      <w:r>
        <w:rPr>
          <w:b/>
          <w:bCs/>
        </w:rPr>
        <w:t xml:space="preserve">mobile was expected down low-single-digits sequentially</w:t>
      </w:r>
      <w:r>
        <w:t xml:space="preserve"> </w:t>
      </w:r>
      <w:r>
        <w:t xml:space="preserve">(normal seasonality) while</w:t>
      </w:r>
      <w:r>
        <w:t xml:space="preserve"> </w:t>
      </w:r>
      <w:r>
        <w:rPr>
          <w:b/>
          <w:bCs/>
        </w:rPr>
        <w:t xml:space="preserve">broad markets was guided up modestly sequentially and up high-single-digits YoY</w:t>
      </w:r>
      <w:r>
        <w:t xml:space="preserve">. Skyworks beat the high end by ~$20M last quarter, so the buy-side bar likely sits toward/above the top of the range.</w:t>
      </w:r>
    </w:p>
    <w:p>
      <w:r>
        <w:pict>
          <v:rect style="width:0;height:1.5pt" o:hralign="center" o:hrstd="t" o:hr="t"/>
        </w:pict>
      </w:r>
    </w:p>
    <w:bookmarkEnd w:id="11"/>
    <w:bookmarkStart w:id="12" w:name="Xa80e1cffdb378354a87bc2489fd22eddca4b646"/>
    <w:p>
      <w:pPr>
        <w:pStyle w:val="Heading2"/>
      </w:pPr>
      <w:r>
        <w:t xml:space="preserve">The dominant swing factor: the Qorvo merger</w:t>
      </w:r>
    </w:p>
    <w:p>
      <w:pPr>
        <w:pStyle w:val="FirstParagraph"/>
      </w:pPr>
      <w:r>
        <w:t xml:space="preserve">Announced Oct 27, 2025, this is a cash-and-stock combination: each Qorvo share converts to</w:t>
      </w:r>
      <w:r>
        <w:t xml:space="preserve"> </w:t>
      </w:r>
      <w:r>
        <w:rPr>
          <w:b/>
          <w:bCs/>
        </w:rPr>
        <w:t xml:space="preserve">0.960 Skyworks shares + $32.50 cash</w:t>
      </w:r>
      <w:r>
        <w:t xml:space="preserve">, leaving Skyworks holders with ~63% and Qorvo holders ~37% of the combined company. Key status points as of the last update:</w:t>
      </w:r>
    </w:p>
    <w:p>
      <w:pPr>
        <w:pStyle w:val="Compact"/>
        <w:numPr>
          <w:ilvl w:val="0"/>
          <w:numId w:val="1001"/>
        </w:numPr>
      </w:pPr>
      <w:r>
        <w:rPr>
          <w:b/>
          <w:bCs/>
        </w:rPr>
        <w:t xml:space="preserve">Regulatory is the gating item.</w:t>
      </w:r>
      <w:r>
        <w:t xml:space="preserve"> </w:t>
      </w:r>
      <w:r>
        <w:t xml:space="preserve">Both companies received an</w:t>
      </w:r>
      <w:r>
        <w:t xml:space="preserve"> </w:t>
      </w:r>
      <w:r>
        <w:rPr>
          <w:b/>
          <w:bCs/>
        </w:rPr>
        <w:t xml:space="preserve">FTC Second Request (Feb 5, 2026)</w:t>
      </w:r>
      <w:r>
        <w:t xml:space="preserve">, and the deal has entered</w:t>
      </w:r>
      <w:r>
        <w:t xml:space="preserve"> </w:t>
      </w:r>
      <w:r>
        <w:rPr>
          <w:b/>
          <w:bCs/>
        </w:rPr>
        <w:t xml:space="preserve">Phase 2 of China's SAMR review</w:t>
      </w:r>
      <w:r>
        <w:t xml:space="preserve">. Shareholders of both companies already approved the deal (Feb 11, 2026).</w:t>
      </w:r>
    </w:p>
    <w:p>
      <w:pPr>
        <w:pStyle w:val="Compact"/>
        <w:numPr>
          <w:ilvl w:val="0"/>
          <w:numId w:val="1001"/>
        </w:numPr>
      </w:pPr>
      <w:r>
        <w:rPr>
          <w:b/>
          <w:bCs/>
        </w:rPr>
        <w:t xml:space="preserve">Timeline is the headline to watch.</w:t>
      </w:r>
      <w:r>
        <w:t xml:space="preserve"> </w:t>
      </w:r>
      <w:r>
        <w:t xml:space="preserve">The formal guidance is "early calendar 2027," but management said in May it is</w:t>
      </w:r>
      <w:r>
        <w:t xml:space="preserve"> </w:t>
      </w:r>
      <w:r>
        <w:rPr>
          <w:b/>
          <w:bCs/>
        </w:rPr>
        <w:t xml:space="preserve">"increasingly hopeful" of closing in late 2026</w:t>
      </w:r>
      <w:r>
        <w:t xml:space="preserve">. Any update to that on/around this print — even outside the call — will move both stocks.</w:t>
      </w:r>
    </w:p>
    <w:p>
      <w:pPr>
        <w:pStyle w:val="Compact"/>
        <w:numPr>
          <w:ilvl w:val="0"/>
          <w:numId w:val="1001"/>
        </w:numPr>
      </w:pPr>
      <w:r>
        <w:rPr>
          <w:b/>
          <w:bCs/>
        </w:rPr>
        <w:t xml:space="preserve">Financing is progressing:</w:t>
      </w:r>
      <w:r>
        <w:t xml:space="preserve"> </w:t>
      </w:r>
      <w:r>
        <w:t xml:space="preserve">a Qorvo debt exchange offer tied to the merger reached early-participation milestones in June (8-K).</w:t>
      </w:r>
    </w:p>
    <w:p>
      <w:pPr>
        <w:pStyle w:val="Compact"/>
        <w:numPr>
          <w:ilvl w:val="0"/>
          <w:numId w:val="1001"/>
        </w:numPr>
      </w:pPr>
      <w:r>
        <w:t xml:space="preserve">Targeted synergies are</w:t>
      </w:r>
      <w:r>
        <w:t xml:space="preserve"> </w:t>
      </w:r>
      <w:r>
        <w:rPr>
          <w:b/>
          <w:bCs/>
        </w:rPr>
        <w:t xml:space="preserve">$500M+</w:t>
      </w:r>
      <w:r>
        <w:t xml:space="preserve">; termination fees are $298.7M (either side) or a $100M reverse fee from Skyworks under specified antitrust/regulatory failure scenarios.</w:t>
      </w:r>
    </w:p>
    <w:p>
      <w:pPr>
        <w:pStyle w:val="FirstParagraph"/>
      </w:pPr>
      <w:r>
        <w:t xml:space="preserve">Practical implication: SWKS now trades substantially as a</w:t>
      </w:r>
      <w:r>
        <w:t xml:space="preserve"> </w:t>
      </w:r>
      <w:r>
        <w:rPr>
          <w:b/>
          <w:bCs/>
        </w:rPr>
        <w:t xml:space="preserve">merger-arb name</w:t>
      </w:r>
      <w:r>
        <w:t xml:space="preserve"> </w:t>
      </w:r>
      <w:r>
        <w:t xml:space="preserve">— its price is mechanically linked to QRVO via the exchange ratio. Fundamental beats/misses matter less to the stock than deal probability and timing.</w:t>
      </w:r>
    </w:p>
    <w:p>
      <w:r>
        <w:pict>
          <v:rect style="width:0;height:1.5pt" o:hralign="center" o:hrstd="t" o:hr="t"/>
        </w:pict>
      </w:r>
    </w:p>
    <w:bookmarkEnd w:id="12"/>
    <w:bookmarkStart w:id="13" w:name="Xe06217a54fb74d9a63fef4d3c2fd2c592b94624"/>
    <w:p>
      <w:pPr>
        <w:pStyle w:val="Heading2"/>
      </w:pPr>
      <w:r>
        <w:t xml:space="preserve">The bull case building underneath: two growth catalysts</w:t>
      </w:r>
    </w:p>
    <w:p>
      <w:pPr>
        <w:pStyle w:val="Compact"/>
        <w:numPr>
          <w:ilvl w:val="0"/>
          <w:numId w:val="1002"/>
        </w:numPr>
      </w:pPr>
      <w:r>
        <w:rPr>
          <w:b/>
          <w:bCs/>
        </w:rPr>
        <w:t xml:space="preserve">The $1B+ Android design win.</w:t>
      </w:r>
      <w:r>
        <w:t xml:space="preserve"> </w:t>
      </w:r>
      <w:r>
        <w:t xml:space="preserve">Skyworks landed a multigenerational premium-Android win expected to generate</w:t>
      </w:r>
      <w:r>
        <w:t xml:space="preserve"> </w:t>
      </w:r>
      <w:r>
        <w:rPr>
          <w:b/>
          <w:bCs/>
        </w:rPr>
        <w:t xml:space="preserve">over $1 billion in revenue through 2030</w:t>
      </w:r>
      <w:r>
        <w:t xml:space="preserve">, described as</w:t>
      </w:r>
      <w:r>
        <w:t xml:space="preserve"> </w:t>
      </w:r>
      <w:r>
        <w:rPr>
          <w:b/>
          <w:bCs/>
        </w:rPr>
        <w:t xml:space="preserve">incremental, premium-margin, and rising year-over-year</w:t>
      </w:r>
      <w:r>
        <w:t xml:space="preserve">. This is the first credible content-growth story outside Apple in a while — watch for any ramp color or quantification.</w:t>
      </w:r>
    </w:p>
    <w:p>
      <w:pPr>
        <w:pStyle w:val="Compact"/>
        <w:numPr>
          <w:ilvl w:val="0"/>
          <w:numId w:val="1002"/>
        </w:numPr>
      </w:pPr>
      <w:r>
        <w:rPr>
          <w:b/>
          <w:bCs/>
        </w:rPr>
        <w:t xml:space="preserve">Broad markets diversification.</w:t>
      </w:r>
      <w:r>
        <w:t xml:space="preserve"> </w:t>
      </w:r>
      <w:r>
        <w:t xml:space="preserve">The June quarter would mark the</w:t>
      </w:r>
      <w:r>
        <w:t xml:space="preserve"> </w:t>
      </w:r>
      <w:r>
        <w:rPr>
          <w:b/>
          <w:bCs/>
        </w:rPr>
        <w:t xml:space="preserve">10th consecutive quarter of growth</w:t>
      </w:r>
      <w:r>
        <w:t xml:space="preserve"> </w:t>
      </w:r>
      <w:r>
        <w:t xml:space="preserve">(~</w:t>
      </w:r>
      <m:oMath>
        <m:r>
          <m:t>400</m:t>
        </m:r>
        <m:r>
          <m:t>M</m:t>
        </m:r>
        <m:r>
          <m:rPr>
            <m:sty m:val="p"/>
          </m:rPr>
          <m:t>/</m:t>
        </m:r>
        <m:r>
          <m:t>q</m:t>
        </m:r>
        <m:r>
          <m:t>u</m:t>
        </m:r>
        <m:r>
          <m:t>a</m:t>
        </m:r>
        <m:r>
          <m:t>r</m:t>
        </m:r>
        <m:r>
          <m:t>t</m:t>
        </m:r>
        <m:r>
          <m:t>e</m:t>
        </m:r>
        <m:r>
          <m:t>r</m:t>
        </m:r>
        <m:r>
          <m:rPr>
            <m:sty m:val="p"/>
          </m:rPr>
          <m:t>,</m:t>
        </m:r>
        <m:r>
          <m:t> </m:t>
        </m:r>
        <m:r>
          <m:t>42</m:t>
        </m:r>
        <m:r>
          <m:rPr>
            <m:sty m:val="p"/>
          </m:rPr>
          <m:t>–</m:t>
        </m:r>
        <m:r>
          <m:t>43</m:t>
        </m:r>
      </m:oMath>
      <w:r>
        <w:t xml:space="preserve">100M). Auto is ~$60M/quarter with a long list of OEM wins (BYD, Ford, Nissan, Geely). This is the structurally higher-margin, stickier mix management wants to lean into.</w:t>
      </w:r>
    </w:p>
    <w:p>
      <w:r>
        <w:pict>
          <v:rect style="width:0;height:1.5pt" o:hralign="center" o:hrstd="t" o:hr="t"/>
        </w:pict>
      </w:r>
    </w:p>
    <w:bookmarkEnd w:id="13"/>
    <w:bookmarkStart w:id="14" w:name="Xd8bc440d858623f06b64f1d8a7db932c4eef6bb"/>
    <w:p>
      <w:pPr>
        <w:pStyle w:val="Heading2"/>
      </w:pPr>
      <w:r>
        <w:t xml:space="preserve">Key debates / things to watch on the print</w:t>
      </w:r>
    </w:p>
    <w:p>
      <w:pPr>
        <w:pStyle w:val="Compact"/>
        <w:numPr>
          <w:ilvl w:val="0"/>
          <w:numId w:val="1003"/>
        </w:numPr>
      </w:pPr>
      <w:r>
        <w:rPr>
          <w:b/>
          <w:bCs/>
        </w:rPr>
        <w:t xml:space="preserve">September (Q4) guide = the real event.</w:t>
      </w:r>
      <w:r>
        <w:t xml:space="preserve"> </w:t>
      </w:r>
      <w:r>
        <w:t xml:space="preserve">The December-quarter iPhone build normally drives the September quarter up double-digits sequentially. Management said in May it saw "nothing other than normal seasonality," with book-to-bill above 1 and lean channel inventory. A guide that confirms a healthy iPhone ramp (and quantifies blended content, which management frames as</w:t>
      </w:r>
      <w:r>
        <w:t xml:space="preserve"> </w:t>
      </w:r>
      <w:r>
        <w:rPr>
          <w:b/>
          <w:bCs/>
        </w:rPr>
        <w:t xml:space="preserve">roughly flat with potential upside from the internal-modem transition</w:t>
      </w:r>
      <w:r>
        <w:t xml:space="preserve">) would be the bullish tell.</w:t>
      </w:r>
    </w:p>
    <w:p>
      <w:pPr>
        <w:pStyle w:val="Compact"/>
        <w:numPr>
          <w:ilvl w:val="0"/>
          <w:numId w:val="1003"/>
        </w:numPr>
      </w:pPr>
      <w:r>
        <w:rPr>
          <w:b/>
          <w:bCs/>
        </w:rPr>
        <w:t xml:space="preserve">Gross margin trajectory.</w:t>
      </w:r>
      <w:r>
        <w:t xml:space="preserve"> </w:t>
      </w:r>
      <w:r>
        <w:t xml:space="preserve">Skyworks guided Q3 GM flat sequentially versus a normal ~70bps seasonal decline — a small positive — but flagged</w:t>
      </w:r>
      <w:r>
        <w:t xml:space="preserve"> </w:t>
      </w:r>
      <w:r>
        <w:rPr>
          <w:b/>
          <w:bCs/>
        </w:rPr>
        <w:t xml:space="preserve">rising input costs (gold prices, expedite fees)</w:t>
      </w:r>
      <w:r>
        <w:t xml:space="preserve">. Watch whether cost/price actions and broad-markets mix are enough to defend ~45% and support the longer-term 50–55% combined-company target.</w:t>
      </w:r>
    </w:p>
    <w:p>
      <w:pPr>
        <w:pStyle w:val="Compact"/>
        <w:numPr>
          <w:ilvl w:val="0"/>
          <w:numId w:val="1003"/>
        </w:numPr>
      </w:pPr>
      <w:r>
        <w:rPr>
          <w:b/>
          <w:bCs/>
        </w:rPr>
        <w:t xml:space="preserve">Memory/supply overhang.</w:t>
      </w:r>
      <w:r>
        <w:t xml:space="preserve"> </w:t>
      </w:r>
      <w:r>
        <w:t xml:space="preserve">Management has twice said memory pricing/supply issues have</w:t>
      </w:r>
      <w:r>
        <w:t xml:space="preserve"> </w:t>
      </w:r>
      <w:r>
        <w:rPr>
          <w:b/>
          <w:bCs/>
        </w:rPr>
        <w:t xml:space="preserve">not yet hit its business</w:t>
      </w:r>
      <w:r>
        <w:t xml:space="preserve">, citing premium mix and lean inventories. Any change in that language matters for the whole component complex.</w:t>
      </w:r>
    </w:p>
    <w:p>
      <w:pPr>
        <w:pStyle w:val="Compact"/>
        <w:numPr>
          <w:ilvl w:val="0"/>
          <w:numId w:val="1003"/>
        </w:numPr>
      </w:pPr>
      <w:r>
        <w:rPr>
          <w:b/>
          <w:bCs/>
        </w:rPr>
        <w:t xml:space="preserve">Customer concentration.</w:t>
      </w:r>
      <w:r>
        <w:t xml:space="preserve"> </w:t>
      </w:r>
      <w:r>
        <w:t xml:space="preserve">Largest customer (Apple, via contract manufacturers) is ~60% of revenue. Content "hold serve" commentary and any hint on the fall iPhone lineup are pivotal.</w:t>
      </w:r>
    </w:p>
    <w:p>
      <w:pPr>
        <w:pStyle w:val="Compact"/>
        <w:numPr>
          <w:ilvl w:val="0"/>
          <w:numId w:val="1003"/>
        </w:numPr>
      </w:pPr>
      <w:r>
        <w:rPr>
          <w:b/>
          <w:bCs/>
        </w:rPr>
        <w:t xml:space="preserve">Capital return.</w:t>
      </w:r>
      <w:r>
        <w:t xml:space="preserve"> </w:t>
      </w:r>
      <w:r>
        <w:t xml:space="preserve">~</w:t>
      </w:r>
      <m:oMath>
        <m:r>
          <m:t>107</m:t>
        </m:r>
        <m:r>
          <m:t>M</m:t>
        </m:r>
        <m:r>
          <m:rPr>
            <m:sty m:val="p"/>
          </m:rPr>
          <m:t>/</m:t>
        </m:r>
        <m:r>
          <m:t>q</m:t>
        </m:r>
        <m:r>
          <m:t>u</m:t>
        </m:r>
        <m:r>
          <m:t>a</m:t>
        </m:r>
        <m:r>
          <m:t>r</m:t>
        </m:r>
        <m:r>
          <m:t>t</m:t>
        </m:r>
        <m:r>
          <m:t>e</m:t>
        </m:r>
        <m:r>
          <m:t>r</m:t>
        </m:r>
        <m:r>
          <m:t>d</m:t>
        </m:r>
        <m:r>
          <m:t>i</m:t>
        </m:r>
        <m:r>
          <m:t>v</m:t>
        </m:r>
        <m:r>
          <m:t>i</m:t>
        </m:r>
        <m:r>
          <m:t>d</m:t>
        </m:r>
        <m:r>
          <m:t>e</m:t>
        </m:r>
        <m:r>
          <m:t>n</m:t>
        </m:r>
        <m:r>
          <m:t>d</m:t>
        </m:r>
        <m:r>
          <m:rPr>
            <m:sty m:val="p"/>
          </m:rPr>
          <m:t>,</m:t>
        </m:r>
        <m:r>
          <m:t> </m:t>
        </m:r>
      </m:oMath>
      <w:r>
        <w:t xml:space="preserve">1.4B cash vs ~$1B debt. Buybacks are effectively frozen under merger covenants.</w:t>
      </w:r>
    </w:p>
    <w:p>
      <w:r>
        <w:pict>
          <v:rect style="width:0;height:1.5pt" o:hralign="center" o:hrstd="t" o:hr="t"/>
        </w:pict>
      </w:r>
    </w:p>
    <w:bookmarkEnd w:id="14"/>
    <w:bookmarkStart w:id="15" w:name="pricepositioning-context"/>
    <w:p>
      <w:pPr>
        <w:pStyle w:val="Heading2"/>
      </w:pPr>
      <w:r>
        <w:t xml:space="preserve">Price/positioning context</w:t>
      </w:r>
    </w:p>
    <w:p>
      <w:pPr>
        <w:pStyle w:val="FirstParagraph"/>
      </w:pPr>
      <w:r>
        <w:t xml:space="preserve">SWKS is a volatile setup into the print. Shares ran from ~</w:t>
      </w:r>
      <m:oMath>
        <m:r>
          <m:t>53</m:t>
        </m:r>
        <m:r>
          <m:t>i</m:t>
        </m:r>
        <m:r>
          <m:t>n</m:t>
        </m:r>
        <m:r>
          <m:t>e</m:t>
        </m:r>
        <m:r>
          <m:t>a</m:t>
        </m:r>
        <m:r>
          <m:t>r</m:t>
        </m:r>
        <m:r>
          <m:t>l</m:t>
        </m:r>
        <m:r>
          <m:t>y</m:t>
        </m:r>
        <m:r>
          <m:t>A</m:t>
        </m:r>
        <m:r>
          <m:t>p</m:t>
        </m:r>
        <m:r>
          <m:t>r</m:t>
        </m:r>
        <m:r>
          <m:t>i</m:t>
        </m:r>
        <m:r>
          <m:t>l</m:t>
        </m:r>
        <m:r>
          <m:t>t</m:t>
        </m:r>
        <m:r>
          <m:t>o</m:t>
        </m:r>
        <m:r>
          <m:t>a</m:t>
        </m:r>
        <m:r>
          <m:t>p</m:t>
        </m:r>
        <m:r>
          <m:t>e</m:t>
        </m:r>
        <m:r>
          <m:t>a</m:t>
        </m:r>
        <m:r>
          <m:t>k</m:t>
        </m:r>
        <m:r>
          <m:t>n</m:t>
        </m:r>
        <m:r>
          <m:t>e</m:t>
        </m:r>
        <m:r>
          <m:t>a</m:t>
        </m:r>
        <m:r>
          <m:t>r</m:t>
        </m:r>
        <m:r>
          <m:rPr>
            <m:sty m:val="p"/>
          </m:rPr>
          <m:t>*</m:t>
        </m:r>
        <m:r>
          <m:rPr>
            <m:sty m:val="p"/>
          </m:rPr>
          <m:t>*</m:t>
        </m:r>
      </m:oMath>
      <w:r>
        <w:t xml:space="preserve">83 in late May** (post-Q2 beat + merger/AI enthusiasm), then faded to the</w:t>
      </w:r>
      <w:r>
        <w:t xml:space="preserve"> </w:t>
      </w:r>
      <w:r>
        <w:rPr>
          <w:b/>
          <w:bCs/>
        </w:rPr>
        <w:t xml:space="preserve">low-</w:t>
      </w:r>
      <m:oMath>
        <m:r>
          <m:t>60</m:t>
        </m:r>
        <m:r>
          <m:t>s</m:t>
        </m:r>
        <m:r>
          <m:t>t</m:t>
        </m:r>
        <m:r>
          <m:t>h</m:t>
        </m:r>
        <m:r>
          <m:t>r</m:t>
        </m:r>
        <m:r>
          <m:t>o</m:t>
        </m:r>
        <m:r>
          <m:t>u</m:t>
        </m:r>
        <m:r>
          <m:t>g</m:t>
        </m:r>
        <m:r>
          <m:t>h</m:t>
        </m:r>
        <m:r>
          <m:t>J</m:t>
        </m:r>
        <m:r>
          <m:t>u</m:t>
        </m:r>
        <m:r>
          <m:t>l</m:t>
        </m:r>
        <m:r>
          <m:t>y</m:t>
        </m:r>
        <m:r>
          <m:rPr>
            <m:sty m:val="p"/>
          </m:rPr>
          <m:t>*</m:t>
        </m:r>
        <m:r>
          <m:rPr>
            <m:sty m:val="p"/>
          </m:rPr>
          <m:t>*</m:t>
        </m:r>
        <m:r>
          <m:rPr>
            <m:sty m:val="p"/>
          </m:rPr>
          <m:t>,</m:t>
        </m:r>
        <m:r>
          <m:t>c</m:t>
        </m:r>
        <m:r>
          <m:t>l</m:t>
        </m:r>
        <m:r>
          <m:t>o</m:t>
        </m:r>
        <m:r>
          <m:t>s</m:t>
        </m:r>
        <m:r>
          <m:t>i</m:t>
        </m:r>
        <m:r>
          <m:t>n</m:t>
        </m:r>
        <m:r>
          <m:t>g</m:t>
        </m:r>
        <m:r>
          <m:t>a</m:t>
        </m:r>
        <m:r>
          <m:t>r</m:t>
        </m:r>
        <m:r>
          <m:t>o</m:t>
        </m:r>
        <m:r>
          <m:t>u</m:t>
        </m:r>
        <m:r>
          <m:t>n</m:t>
        </m:r>
        <m:r>
          <m:t>d</m:t>
        </m:r>
        <m:r>
          <m:rPr>
            <m:sty m:val="p"/>
          </m:rPr>
          <m:t>*</m:t>
        </m:r>
        <m:r>
          <m:rPr>
            <m:sty m:val="p"/>
          </m:rPr>
          <m:t>*</m:t>
        </m:r>
      </m:oMath>
      <w:r>
        <w:rPr>
          <w:b/>
          <w:bCs/>
        </w:rPr>
        <w:t xml:space="preserve">63.46 on July 27</w:t>
      </w:r>
      <w:r>
        <w:t xml:space="preserve">. QRVO has tracked it closely (~$90) given the fixed exchange ratio. That round-trip means expectations have reset lower, but it also signals the market is trading merger-timing and macro headlines more than the quarterly numbers.</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Expect an in-line-to-modest-beat June quarter (management has a habit of clearing its own bar), with the stock reaction driven by</w:t>
      </w:r>
      <w:r>
        <w:t xml:space="preserve"> </w:t>
      </w:r>
      <w:r>
        <w:rPr>
          <w:b/>
          <w:bCs/>
        </w:rPr>
        <w:t xml:space="preserve">(1) the September guide</w:t>
      </w:r>
      <w:r>
        <w:t xml:space="preserve"> </w:t>
      </w:r>
      <w:r>
        <w:t xml:space="preserve">— is the iPhone ramp normal-seasonal or soft? — and</w:t>
      </w:r>
      <w:r>
        <w:t xml:space="preserve"> </w:t>
      </w:r>
      <w:r>
        <w:rPr>
          <w:b/>
          <w:bCs/>
        </w:rPr>
        <w:t xml:space="preserve">(2) any signal on merger timing</w:t>
      </w:r>
      <w:r>
        <w:t xml:space="preserve"> </w:t>
      </w:r>
      <w:r>
        <w:t xml:space="preserve">(the late-2026 vs early-2027 question). The longer-term narrative hinges on whether the</w:t>
      </w:r>
      <w:r>
        <w:t xml:space="preserve"> </w:t>
      </w:r>
      <w:r>
        <w:rPr>
          <w:b/>
          <w:bCs/>
        </w:rPr>
        <w:t xml:space="preserve">$1B Android win + broad-markets (WiFi/data-center/auto) diversification</w:t>
      </w:r>
      <w:r>
        <w:t xml:space="preserve"> </w:t>
      </w:r>
      <w:r>
        <w:t xml:space="preserve">can offset flat-to-declining Apple content and defend gross margin. Given the pending deal, treat SWKS primarily as a merger-arb position with an embedded fundamental option, not a clean fundamental trade.</w:t>
      </w:r>
    </w:p>
    <w:p>
      <w:pPr>
        <w:pStyle w:val="BodyText"/>
      </w:pPr>
      <w:r>
        <w:rPr>
          <w:i/>
          <w:iCs/>
        </w:rPr>
        <w:t xml:space="preserve">Note: management has stated it will not take questions on the Qorvo transaction during the call, so merger updates are more likely to come via press release/8-K than Q&amp;A.</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2026-07-28T01:07:53Z</dcterms:created>
  <dcterms:modified xsi:type="dcterms:W3CDTF">2026-07-28T01:07:53Z</dcterms:modified>
</cp:coreProperties>
</file>

<file path=docProps/custom.xml><?xml version="1.0" encoding="utf-8"?>
<Properties xmlns="http://schemas.openxmlformats.org/officeDocument/2006/custom-properties" xmlns:vt="http://schemas.openxmlformats.org/officeDocument/2006/docPropsVTypes"/>
</file>