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wks-earnings-predictions--2026-07-28"/>
    <w:p>
      <w:pPr>
        <w:pStyle w:val="Heading1"/>
      </w:pPr>
      <w:r>
        <w:t xml:space="preserve">SWKS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Q3 FY26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935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922M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Q3 FY26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1.07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Q3 FY26 Non-GAAP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~44.8% vs. cons ~45.0%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FY26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1.06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1.05B (Q4 FY2026, Sept quarter)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FY26 Non-GAAP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1.38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1.35 (Q4 FY2026, Sept quarter)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Qorvo Merger Close Timing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~early 2027 formal close vs. cons/street hope of late 2026 close (regulatory update for Q4 FY26/early CY2027)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(FADE)</w:t>
            </w:r>
          </w:p>
        </w:tc>
        <w:tc>
          <w:tcPr/>
          <w:p>
            <w:pPr>
              <w:pStyle w:val="Compact"/>
            </w:pPr>
            <w:r>
              <w:t xml:space="preserve">Stock is deeply oversold (-25% in a month) heading into the print, so a modest beat plus a Q4 guide that's merely in-line-to-slightly-better than the depressed consensus should spark a sharp relief rally on day 1. But the underlying bear thesis (flat mobile content at the top customer, KeyBanc's smartphone-cycle caution, and no concrete resolution on Qorvo's FTC Second Request/SAMR Phase 2 timeline) isn't resolved by one quarter's numbers. Analysts are likely to leave FY27 mobile-content and merger-synergy assumptions largely unchanged even after a beat, meaning out-period estimate revisions stay muted; some of the initial short-covering/relief-rally gains should fade over the following days as the market re-focuses on secular mobile growth concerns and lack of merger-timeline clarity.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2026-07-28T01:14:27Z</dcterms:created>
  <dcterms:modified xsi:type="dcterms:W3CDTF">2026-07-28T01:14:27Z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