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enough to write a comprehensive preview now.# Skyworks Solutions (SWKS) — Q3 FY2026 Earnings Preview</w:t>
      </w:r>
      <w:r>
        <w:t xml:space="preserve"> </w:t>
      </w:r>
      <w:r>
        <w:rPr>
          <w:b/>
          <w:bCs/>
        </w:rPr>
        <w:t xml:space="preserve">Report Date:</w:t>
      </w:r>
      <w:r>
        <w:t xml:space="preserve"> </w:t>
      </w:r>
      <w:r>
        <w:t xml:space="preserve">Tuesday, July 28, 2026, after market close | Conference call 4:30 p.m. ET</w:t>
      </w:r>
      <w:r>
        <w:t xml:space="preserve"> </w:t>
      </w:r>
      <w:r>
        <w:rPr>
          <w:b/>
          <w:bCs/>
        </w:rPr>
        <w:t xml:space="preserve">Current Price:</w:t>
      </w:r>
      <w:r>
        <w:t xml:space="preserve"> </w:t>
      </w:r>
      <w:r>
        <w:t xml:space="preserve">~</w:t>
      </w:r>
      <m:oMath>
        <m:r>
          <m:t>63.46</m:t>
        </m:r>
        <m:r>
          <m:rPr>
            <m:sty m:val="p"/>
          </m:rPr>
          <m:t>(</m:t>
        </m:r>
        <m:r>
          <m:t>7</m:t>
        </m:r>
        <m:r>
          <m:rPr>
            <m:sty m:val="p"/>
          </m:rPr>
          <m:t>/</m:t>
        </m:r>
        <m:r>
          <m:t>27</m:t>
        </m:r>
        <m:r>
          <m:rPr>
            <m:sty m:val="p"/>
          </m:rPr>
          <m:t>/</m:t>
        </m:r>
        <m:r>
          <m:t>26</m:t>
        </m:r>
        <m:r>
          <m:rPr>
            <m:sty m:val="p"/>
          </m:rPr>
          <m:t>)</m:t>
        </m:r>
        <m:r>
          <m:rPr>
            <m:sty m:val="p"/>
          </m:rPr>
          <m:t>|</m:t>
        </m:r>
        <m:r>
          <m:rPr>
            <m:sty m:val="p"/>
          </m:rPr>
          <m:t>*</m:t>
        </m:r>
        <m:r>
          <m:rPr>
            <m:sty m:val="p"/>
          </m:rPr>
          <m:t>*</m:t>
        </m:r>
        <m:r>
          <m:t>52</m:t>
        </m:r>
        <m:r>
          <m:rPr>
            <m:sty m:val="p"/>
          </m:rPr>
          <m:t>−</m:t>
        </m:r>
        <m:r>
          <m:t>W</m:t>
        </m:r>
        <m:r>
          <m:t>e</m:t>
        </m:r>
        <m:r>
          <m:t>e</m:t>
        </m:r>
        <m:r>
          <m:t>k</m:t>
        </m:r>
        <m:r>
          <m:t>R</m:t>
        </m:r>
        <m:r>
          <m:t>a</m:t>
        </m:r>
        <m:r>
          <m:t>n</m:t>
        </m:r>
        <m:r>
          <m:t>g</m:t>
        </m:r>
        <m:r>
          <m:t>e</m:t>
        </m:r>
        <m:r>
          <m:rPr>
            <m:sty m:val="p"/>
          </m:rPr>
          <m:t>:</m:t>
        </m:r>
        <m:r>
          <m:rPr>
            <m:sty m:val="p"/>
          </m:rPr>
          <m:t>*</m:t>
        </m:r>
        <m:r>
          <m:rPr>
            <m:sty m:val="p"/>
          </m:rPr>
          <m:t>*</m:t>
        </m:r>
        <m:r>
          <m:t> </m:t>
        </m:r>
      </m:oMath>
      <w:r>
        <w:t xml:space="preserve">51.93 – $90.90</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Skyworks heads into its fiscal third-quarter print in a volatile stretch. The stock has round-tripped from the low $50s in January to a high near</w:t>
      </w:r>
      <w:r>
        <w:t xml:space="preserve"> </w:t>
      </w:r>
      <m:oMath>
        <m:r>
          <m:t>91</m:t>
        </m:r>
        <m:r>
          <m:t>i</m:t>
        </m:r>
        <m:r>
          <m:t>n</m:t>
        </m:r>
        <m:r>
          <m:t>l</m:t>
        </m:r>
        <m:r>
          <m:t>a</m:t>
        </m:r>
        <m:r>
          <m:t>t</m:t>
        </m:r>
        <m:r>
          <m:t>e</m:t>
        </m:r>
        <m:r>
          <m:t>M</m:t>
        </m:r>
        <m:r>
          <m:t>a</m:t>
        </m:r>
        <m:r>
          <m:t>y</m:t>
        </m:r>
        <m:r>
          <m:rPr>
            <m:sty m:val="p"/>
          </m:rPr>
          <m:t>(</m:t>
        </m:r>
        <m:r>
          <m:t>d</m:t>
        </m:r>
        <m:r>
          <m:t>r</m:t>
        </m:r>
        <m:r>
          <m:t>i</m:t>
        </m:r>
        <m:r>
          <m:t>v</m:t>
        </m:r>
        <m:r>
          <m:t>e</m:t>
        </m:r>
        <m:r>
          <m:t>n</m:t>
        </m:r>
        <m:r>
          <m:t>b</m:t>
        </m:r>
        <m:r>
          <m:t>y</m:t>
        </m:r>
        <m:r>
          <m:t>a</m:t>
        </m:r>
        <m:r>
          <m:t>b</m:t>
        </m:r>
        <m:r>
          <m:t>l</m:t>
        </m:r>
        <m:r>
          <m:t>o</m:t>
        </m:r>
        <m:r>
          <m:t>w</m:t>
        </m:r>
        <m:r>
          <m:t>o</m:t>
        </m:r>
        <m:r>
          <m:t>u</m:t>
        </m:r>
        <m:r>
          <m:t>t</m:t>
        </m:r>
        <m:r>
          <m:t>Q</m:t>
        </m:r>
        <m:r>
          <m:t>2</m:t>
        </m:r>
        <m:r>
          <m:t>r</m:t>
        </m:r>
        <m:r>
          <m:t>e</m:t>
        </m:r>
        <m:r>
          <m:t>p</m:t>
        </m:r>
        <m:r>
          <m:t>o</m:t>
        </m:r>
        <m:r>
          <m:t>r</m:t>
        </m:r>
        <m:r>
          <m:t>t</m:t>
        </m:r>
        <m:r>
          <m:t>a</m:t>
        </m:r>
        <m:r>
          <m:t>n</m:t>
        </m:r>
        <m:r>
          <m:t>d</m:t>
        </m:r>
        <m:r>
          <m:t>a</m:t>
        </m:r>
        <m:r>
          <m:t>m</m:t>
        </m:r>
        <m:r>
          <m:t>a</m:t>
        </m:r>
        <m:r>
          <m:t>r</m:t>
        </m:r>
        <m:r>
          <m:t>q</m:t>
        </m:r>
        <m:r>
          <m:t>u</m:t>
        </m:r>
        <m:r>
          <m:t>e</m:t>
        </m:r>
        <m:r>
          <m:t>e</m:t>
        </m:r>
        <m:r>
          <m:t>d</m:t>
        </m:r>
        <m:r>
          <m:t>e</m:t>
        </m:r>
        <m:r>
          <m:t>s</m:t>
        </m:r>
        <m:r>
          <m:t>i</m:t>
        </m:r>
        <m:r>
          <m:t>g</m:t>
        </m:r>
        <m:r>
          <m:t>n</m:t>
        </m:r>
        <m:r>
          <m:t>w</m:t>
        </m:r>
        <m:r>
          <m:t>i</m:t>
        </m:r>
        <m:r>
          <m:t>n</m:t>
        </m:r>
        <m:r>
          <m:rPr>
            <m:sty m:val="p"/>
          </m:rPr>
          <m:t>)</m:t>
        </m:r>
        <m:r>
          <m:t>a</m:t>
        </m:r>
        <m:r>
          <m:t>n</m:t>
        </m:r>
        <m:r>
          <m:t>d</m:t>
        </m:r>
        <m:r>
          <m:t>h</m:t>
        </m:r>
        <m:r>
          <m:t>a</m:t>
        </m:r>
        <m:r>
          <m:t>s</m:t>
        </m:r>
        <m:r>
          <m:t>s</m:t>
        </m:r>
        <m:r>
          <m:t>i</m:t>
        </m:r>
        <m:r>
          <m:t>n</m:t>
        </m:r>
        <m:r>
          <m:t>c</m:t>
        </m:r>
        <m:r>
          <m:t>e</m:t>
        </m:r>
        <m:r>
          <m:t>s</m:t>
        </m:r>
        <m:r>
          <m:t>l</m:t>
        </m:r>
        <m:r>
          <m:t>i</m:t>
        </m:r>
        <m:r>
          <m:t>d</m:t>
        </m:r>
        <m:r>
          <m:t>b</m:t>
        </m:r>
        <m:r>
          <m:t>a</m:t>
        </m:r>
        <m:r>
          <m:t>c</m:t>
        </m:r>
        <m:r>
          <m:t>k</m:t>
        </m:r>
        <m:r>
          <m:t>i</m:t>
        </m:r>
        <m:r>
          <m:t>n</m:t>
        </m:r>
        <m:r>
          <m:t>t</m:t>
        </m:r>
        <m:r>
          <m:t>o</m:t>
        </m:r>
        <m:r>
          <m:t>t</m:t>
        </m:r>
        <m:r>
          <m:t>h</m:t>
        </m:r>
        <m:r>
          <m:t>e</m:t>
        </m:r>
        <m:r>
          <m:t>h</m:t>
        </m:r>
        <m:r>
          <m:t>i</m:t>
        </m:r>
        <m:r>
          <m:t>g</m:t>
        </m:r>
        <m:r>
          <m:t>h</m:t>
        </m:r>
        <m:r>
          <m:rPr>
            <m:sty m:val="p"/>
          </m:rPr>
          <m:t>−</m:t>
        </m:r>
      </m:oMath>
      <w:r>
        <w:t xml:space="preserve">50s/low-$60s amid a KeyBanc downgrade and broader mobile-chip caution. Shares are down roughly 25% over the trailing month heading into the print, even as the Nasdaq semiconductor complex has been more mixed than uniformly weak.</w:t>
      </w:r>
    </w:p>
    <w:p>
      <w:pPr>
        <w:pStyle w:val="BodyText"/>
      </w:pPr>
      <w:r>
        <w:t xml:space="preserve">On July 14, 2026, KeyBanc analyst John Vinh cut Skyworks to Sector Weight from Overweight, a move framed around a broader rotation out of mobile-exposed names and into AI-infrastructure winners. Investing.com noted that KeyBanc downgraded the stock "on smartphone market concerns" even as some in-name options activity picked up. Sell-side sentiment overall remains lukewarm — StockAnalysis.com's poll of 25 analysts pegs a consensus "Hold" rating with an average price target near $74, implying meaningful upside from current levels but reflecting a wide range of views on the name.</w:t>
      </w:r>
    </w:p>
    <w:bookmarkEnd w:id="9"/>
    <w:bookmarkStart w:id="10" w:name="X4c154dba2850a425a16ab433965d6931d67e332"/>
    <w:p>
      <w:pPr>
        <w:pStyle w:val="Heading2"/>
      </w:pPr>
      <w:r>
        <w:t xml:space="preserve">2. What Management Guided / What the Street Expects</w:t>
      </w:r>
    </w:p>
    <w:p>
      <w:pPr>
        <w:pStyle w:val="FirstParagraph"/>
      </w:pPr>
      <w:r>
        <w:t xml:space="preserve">On the May 5 call, CFO Philip Carter guided</w:t>
      </w:r>
      <w:r>
        <w:t xml:space="preserve"> </w:t>
      </w:r>
      <w:r>
        <w:rPr>
          <w:b/>
          <w:bCs/>
        </w:rPr>
        <w:t xml:space="preserve">Q3 FY26 revenue to</w:t>
      </w:r>
      <w:r>
        <w:rPr>
          <w:b/>
          <w:bCs/>
        </w:rPr>
        <w:t xml:space="preserve"> </w:t>
      </w:r>
      <m:oMath>
        <m:r>
          <m:t>900</m:t>
        </m:r>
        <m:r>
          <m:rPr>
            <m:sty m:val="p"/>
          </m:rPr>
          <m:t>–</m:t>
        </m:r>
      </m:oMath>
      <w:r>
        <w:rPr>
          <w:b/>
          <w:bCs/>
        </w:rPr>
        <w:t xml:space="preserve">950 million</w:t>
      </w:r>
      <w:r>
        <w:t xml:space="preserve"> </w:t>
      </w:r>
      <w:r>
        <w:t xml:space="preserve">with</w:t>
      </w:r>
      <w:r>
        <w:t xml:space="preserve"> </w:t>
      </w:r>
      <w:r>
        <w:rPr>
          <w:b/>
          <w:bCs/>
        </w:rPr>
        <w:t xml:space="preserve">non-GAAP EPS of $1.03 at the midpoint</w:t>
      </w:r>
      <w:r>
        <w:t xml:space="preserve">, and outlined the shape of the quarter directly:</w:t>
      </w:r>
    </w:p>
    <w:p>
      <w:pPr>
        <w:pStyle w:val="BodyText"/>
      </w:pPr>
      <w:r>
        <w:t xml:space="preserve">"Looking ahead to the third quarter of fiscal 2026, we expect revenue to range between $900 million to $950 million. We anticipate mobile to decline approximately low single digits sequentially, consistent with normal seasonality." Management expects "broad markets to be up modestly sequentially, representing 43% of sales and up high single digits year-over-year," with gross margin "approximately 44.5% to 45.5%, flat sequentially, reflecting seasonally lower volume and higher input costs."</w:t>
      </w:r>
    </w:p>
    <w:p>
      <w:pPr>
        <w:pStyle w:val="BodyText"/>
      </w:pPr>
      <w:r>
        <w:t xml:space="preserve">Wall Street has essentially converged on the low end of the effort: the Zacks consensus estimate sits at</w:t>
      </w:r>
      <w:r>
        <w:t xml:space="preserve"> </w:t>
      </w:r>
      <m:oMath>
        <m:r>
          <m:t>1.03</m:t>
        </m:r>
        <m:r>
          <m:t>n</m:t>
        </m:r>
        <m:r>
          <m:t>o</m:t>
        </m:r>
        <m:r>
          <m:t>n</m:t>
        </m:r>
        <m:r>
          <m:rPr>
            <m:sty m:val="p"/>
          </m:rPr>
          <m:t>−</m:t>
        </m:r>
        <m:r>
          <m:t>G</m:t>
        </m:r>
        <m:r>
          <m:t>A</m:t>
        </m:r>
        <m:r>
          <m:t>A</m:t>
        </m:r>
        <m:r>
          <m:t>P</m:t>
        </m:r>
        <m:r>
          <m:t>E</m:t>
        </m:r>
        <m:r>
          <m:t>P</m:t>
        </m:r>
        <m:r>
          <m:t>S</m:t>
        </m:r>
        <m:r>
          <m:rPr>
            <m:sty m:val="p"/>
          </m:rPr>
          <m:t>*</m:t>
        </m:r>
        <m:r>
          <m:rPr>
            <m:sty m:val="p"/>
          </m:rPr>
          <m:t>*</m:t>
        </m:r>
        <m:r>
          <m:t>o</m:t>
        </m:r>
        <m:r>
          <m:t>n</m:t>
        </m:r>
        <m:r>
          <m:rPr>
            <m:sty m:val="p"/>
          </m:rPr>
          <m:t>*</m:t>
        </m:r>
        <m:r>
          <m:rPr>
            <m:sty m:val="p"/>
          </m:rPr>
          <m:t>*</m:t>
        </m:r>
        <m:r>
          <m:t> </m:t>
        </m:r>
      </m:oMath>
      <w:r>
        <w:rPr>
          <w:b/>
          <w:bCs/>
        </w:rPr>
        <w:t xml:space="preserve">922 million of revenue</w:t>
      </w:r>
      <w:r>
        <w:t xml:space="preserve"> </w:t>
      </w:r>
      <w:r>
        <w:t xml:space="preserve">— a projection that "indicates a 22.56% decrease from the figure reported in the year-ago quarter" for EPS and "a 4.45% year-over-year decline" for revenue, versus last year's Q3 (June-quarter) results of $965 million in revenue and $1.33 non-GAAP EPS. Skyworks has beaten the Zacks consensus in each of the trailing four quarters, with an average surprise near 12%, though this quarter's Earnings ESP is only marginally positive.</w:t>
      </w:r>
    </w:p>
    <w:p>
      <w:pPr>
        <w:pStyle w:val="BodyText"/>
      </w:pPr>
      <w:r>
        <w:t xml:space="preserve">Investors should note that</w:t>
      </w:r>
      <w:r>
        <w:t xml:space="preserve"> </w:t>
      </w:r>
      <w:r>
        <w:rPr>
          <w:b/>
          <w:bCs/>
        </w:rPr>
        <w:t xml:space="preserve">year-over-year comparisons look ugly on paper</w:t>
      </w:r>
      <w:r>
        <w:t xml:space="preserve"> </w:t>
      </w:r>
      <w:r>
        <w:t xml:space="preserve">largely because last year's Q3 benefited from stronger mobile sell-through and a richer gross margin (47.1% non-GAAP) — this is a normal-seasonality story more than a demand-destruction story, based on management's own commentary, but the optics of a ~23% EPS decline will likely dominate headlines.</w:t>
      </w:r>
    </w:p>
    <w:bookmarkEnd w:id="10"/>
    <w:bookmarkStart w:id="11" w:name="Xba5d08838abd7212ca35ec3715835ae27048096"/>
    <w:p>
      <w:pPr>
        <w:pStyle w:val="Heading2"/>
      </w:pPr>
      <w:r>
        <w:t xml:space="preserve">3. Scorecard From Last Quarter (Q2 FY26, reported May 5)</w:t>
      </w:r>
    </w:p>
    <w:p>
      <w:pPr>
        <w:pStyle w:val="FirstParagraph"/>
      </w:pPr>
      <w:r>
        <w:t xml:space="preserve">Skyworks' Q2 was a genuine beat-and-raise-adjacent quarter: "Skyworks delivered strong results, driven by upsides in both mobile and broad markets. We posted revenue of $944 million, roughly $20 million above the high end of our guidance range, delivered earnings per share of $1.15, $0.05 above the high end of our guidance range." Broad Markets — the diversification engine — extended its streak: "Nine consecutive quarters of growth, approximately $400 million in quarterly revenue and double-digit year-over-year growth. Our three growth engines, WiFi, data center and automotive, accounted for nearly 2/3 of our broad markets business and collectively grew 30% year-over-year."</w:t>
      </w:r>
    </w:p>
    <w:p>
      <w:pPr>
        <w:pStyle w:val="BodyText"/>
      </w:pPr>
      <w:r>
        <w:t xml:space="preserve">The headline strategic news was a major design win: "we secured a significant multigenerational design win with a leading Android OEM expected to generate over $1 billion in revenue through 2030. This win reflects our expanding footprint in premium AI-enabled devices, validating our RF content platform and our technology differentiation." On the call, CEO Phil Brace confirmed the revenue ramp should build over time: "we expect it to be rising year-over-year. We expect that to be a tailwind to growth from now through 2030."</w:t>
      </w:r>
    </w:p>
    <w:bookmarkEnd w:id="11"/>
    <w:bookmarkStart w:id="12" w:name="Xccadf217d3d2bc7b2aa7bfc144f7799835869aa"/>
    <w:p>
      <w:pPr>
        <w:pStyle w:val="Heading2"/>
      </w:pPr>
      <w:r>
        <w:t xml:space="preserve">4. Key Things to Watch in Tomorrow's Print</w:t>
      </w:r>
    </w:p>
    <w:p>
      <w:pPr>
        <w:pStyle w:val="FirstParagraph"/>
      </w:pPr>
      <w:r>
        <w:rPr>
          <w:b/>
          <w:bCs/>
        </w:rPr>
        <w:t xml:space="preserve">a) Mobile seasonality and content at the top customer.</w:t>
      </w:r>
      <w:r>
        <w:t xml:space="preserve"> </w:t>
      </w:r>
      <w:r>
        <w:t xml:space="preserve">Management has repeatedly said blended RF content at its largest customer is expected to be roughly flat this generation, with upside tied to AI-driven complexity (more bands, MIMO, power) and eventual migration toward internal modems. Investors should watch commentary on whether September-quarter (fiscal Q4) seasonality tracks the historical ~13-14% sequential step-up, which management flagged as intact as of May: "book-to-bill remains above 1. Our inventories are lean... we don't see anything that wouldn't expect to be otherwise seasonal for the back half of the year."</w:t>
      </w:r>
    </w:p>
    <w:p>
      <w:pPr>
        <w:pStyle w:val="BodyText"/>
      </w:pPr>
      <w:r>
        <w:rPr>
          <w:b/>
          <w:bCs/>
        </w:rPr>
        <w:t xml:space="preserve">b) Broad Markets durability.</w:t>
      </w:r>
      <w:r>
        <w:t xml:space="preserve"> </w:t>
      </w:r>
      <w:r>
        <w:t xml:space="preserve">WiFi 7/8 momentum, automotive infotainment wins (BYD, German Tier-1s), and the still-small-but-fast-growing AI data center timing/power business are the multi-year diversification thesis. Management called data center growth "expected to grow nearly 50% this year" off a small base (~$100M annualized), while auto runs closer to $250M/year — watch for confirmation these engines are still compounding.</w:t>
      </w:r>
    </w:p>
    <w:p>
      <w:pPr>
        <w:pStyle w:val="BodyText"/>
      </w:pPr>
      <w:r>
        <w:rPr>
          <w:b/>
          <w:bCs/>
        </w:rPr>
        <w:t xml:space="preserve">c) Gross margin trajectory amid input-cost inflation.</w:t>
      </w:r>
      <w:r>
        <w:t xml:space="preserve"> </w:t>
      </w:r>
      <w:r>
        <w:t xml:space="preserve">CFO Carter flagged rising costs tied to expedite fees and gold prices, offset by targeted pricing and fab optimization, while reiterating the long-term target: "In the longer term, we are sticking with our long-term model of 50%, 55% post combination of the merger with Qorvo in terms of gross margin... we do see a path to gross margin expansion in terms of favorable mix shift, lower cost structure through fab optimization, higher utilization." Watch whether the flat-sequential 44.5-45.5% guide held or margin absorbed more cost pressure than planned — especially given industry-wide memory pricing dynamics that management says haven't yet hit Skyworks directly: "We're mindful of the ongoing industry discussion around memory supply and pricing. Consistent with what we observed last quarter, we have not seen an impact on our business to date."</w:t>
      </w:r>
    </w:p>
    <w:p>
      <w:pPr>
        <w:pStyle w:val="BodyText"/>
      </w:pPr>
      <w:r>
        <w:rPr>
          <w:b/>
          <w:bCs/>
        </w:rPr>
        <w:t xml:space="preserve">d) The Qorvo merger — timeline and any incremental regulatory color.</w:t>
      </w:r>
      <w:r>
        <w:t xml:space="preserve"> </w:t>
      </w:r>
      <w:r>
        <w:t xml:space="preserve">This is arguably the single largest overhang/catalyst for the stock. As of the Q2 call, management said: "regarding the Qorvo combination, regulatory reviews are progressing as expected. We have entered Phase 2 of the China SAMR review... While our formal guidance remains an expected closing early in calendar 2027, we are increasingly hopeful that we could close in late 2026." Separately, both companies received a Second Request from the FTC on February 5, 2026, which extends the HSR waiting period — investors will want any update on FTC/SAMR progress, integration planning, and confirmation of the</w:t>
      </w:r>
      <w:r>
        <w:t xml:space="preserve"> </w:t>
      </w:r>
      <w:r>
        <w:rPr>
          <w:b/>
          <w:bCs/>
        </w:rPr>
        <w:t xml:space="preserve">$500 million+ synergy target</w:t>
      </w:r>
      <w:r>
        <w:t xml:space="preserve">. Note Skyworks has already been supporting Qorvo's capital return and completed exchange offers for Qorvo's outstanding notes as part of pre-close financing/integration steps.</w:t>
      </w:r>
    </w:p>
    <w:p>
      <w:pPr>
        <w:pStyle w:val="BodyText"/>
      </w:pPr>
      <w:r>
        <w:rPr>
          <w:b/>
          <w:bCs/>
        </w:rPr>
        <w:t xml:space="preserve">e) Capital allocation.</w:t>
      </w:r>
      <w:r>
        <w:t xml:space="preserve"> </w:t>
      </w:r>
      <w:r>
        <w:t xml:space="preserve">Skyworks pays a meaningful dividend (most recently $0.71/share quarterly) and resumed limited buybacks in Q4 FY25 under merger-agreement covenants after temporarily suspending the program around signing. Free cash flow swung negative in the March quarter (capex-heavy, working-capital build), so watch commentary on FCF normalization.</w:t>
      </w:r>
    </w:p>
    <w:p>
      <w:pPr>
        <w:pStyle w:val="BodyText"/>
      </w:pPr>
      <w:r>
        <w:rPr>
          <w:b/>
          <w:bCs/>
        </w:rPr>
        <w:t xml:space="preserve">f) Balance sheet.</w:t>
      </w:r>
      <w:r>
        <w:t xml:space="preserve"> </w:t>
      </w:r>
      <w:r>
        <w:t xml:space="preserve">As of the April quarter-end, Skyworks held roughly</w:t>
      </w:r>
      <w:r>
        <w:t xml:space="preserve"> </w:t>
      </w:r>
      <m:oMath>
        <m:r>
          <m:t>1.44</m:t>
        </m:r>
        <m:r>
          <m:t>b</m:t>
        </m:r>
        <m:r>
          <m:t>i</m:t>
        </m:r>
        <m:r>
          <m:t>l</m:t>
        </m:r>
        <m:r>
          <m:t>l</m:t>
        </m:r>
        <m:r>
          <m:t>i</m:t>
        </m:r>
        <m:r>
          <m:t>o</m:t>
        </m:r>
        <m:r>
          <m:t>n</m:t>
        </m:r>
        <m:r>
          <m:t>i</m:t>
        </m:r>
        <m:r>
          <m:t>n</m:t>
        </m:r>
        <m:r>
          <m:t>c</m:t>
        </m:r>
        <m:r>
          <m:t>a</m:t>
        </m:r>
        <m:r>
          <m:t>s</m:t>
        </m:r>
        <m:r>
          <m:t>h</m:t>
        </m:r>
        <m:r>
          <m:rPr>
            <m:sty m:val="p"/>
          </m:rPr>
          <m:t>/</m:t>
        </m:r>
        <m:r>
          <m:t>i</m:t>
        </m:r>
        <m:r>
          <m:t>n</m:t>
        </m:r>
        <m:r>
          <m:t>v</m:t>
        </m:r>
        <m:r>
          <m:t>e</m:t>
        </m:r>
        <m:r>
          <m:t>s</m:t>
        </m:r>
        <m:r>
          <m:t>t</m:t>
        </m:r>
        <m:r>
          <m:t>m</m:t>
        </m:r>
        <m:r>
          <m:t>e</m:t>
        </m:r>
        <m:r>
          <m:t>n</m:t>
        </m:r>
        <m:r>
          <m:t>t</m:t>
        </m:r>
        <m:r>
          <m:t>s</m:t>
        </m:r>
        <m:r>
          <m:t>a</m:t>
        </m:r>
        <m:r>
          <m:t>g</m:t>
        </m:r>
        <m:r>
          <m:t>a</m:t>
        </m:r>
        <m:r>
          <m:t>i</m:t>
        </m:r>
        <m:r>
          <m:t>n</m:t>
        </m:r>
        <m:r>
          <m:t>s</m:t>
        </m:r>
        <m:r>
          <m:t>t</m:t>
        </m:r>
        <m:r>
          <m:t> </m:t>
        </m:r>
      </m:oMath>
      <w:r>
        <w:t xml:space="preserve">1.0 billion of debt — a solid net-cash position heading into a debt-funded close of the Qorvo deal.</w:t>
      </w:r>
    </w:p>
    <w:bookmarkEnd w:id="12"/>
    <w:bookmarkStart w:id="13" w:name="Xffa2517f5a0d88fba5cc335876d972eec26626f"/>
    <w:p>
      <w:pPr>
        <w:pStyle w:val="Heading2"/>
      </w:pPr>
      <w:r>
        <w:t xml:space="preserve">5. Bear/Bull Framing Into the Print</w:t>
      </w:r>
    </w:p>
    <w:p>
      <w:pPr>
        <w:pStyle w:val="FirstParagraph"/>
      </w:pPr>
      <w:r>
        <w:rPr>
          <w:b/>
          <w:bCs/>
        </w:rPr>
        <w:t xml:space="preserve">Bear case:</w:t>
      </w:r>
      <w:r>
        <w:t xml:space="preserve"> </w:t>
      </w:r>
      <w:r>
        <w:t xml:space="preserve">Mobile remains ~58% of revenue and is heavily customer-concentrated; content growth has been flat for multiple product generations; the KeyBanc downgrade reflects genuine concern that smartphone units and RF dollar-content growth are maturing faster than the Broad Markets diversification can offset; and the pending Qorvo deal introduces multi-quarter regulatory/integration overhang and dilutes near-term capital flexibility.</w:t>
      </w:r>
    </w:p>
    <w:p>
      <w:pPr>
        <w:pStyle w:val="BodyText"/>
      </w:pPr>
      <w:r>
        <w:rPr>
          <w:b/>
          <w:bCs/>
        </w:rPr>
        <w:t xml:space="preserve">Bull case:</w:t>
      </w:r>
      <w:r>
        <w:t xml:space="preserve"> </w:t>
      </w:r>
      <w:r>
        <w:t xml:space="preserve">Broad Markets has posted nine straight quarters of double-digit growth and is nearing ~43% of revenue; the new $1 billion+ multigenerational Android design win is an under-appreciated tailwind into FY27-30; gross margin has a credible path back toward the 50-55% long-term model post-Qorvo; and depressed sentiment (Hold consensus, ~30% average upside to price targets, stock down ~25% in a month) sets up a lower bar for a beat-and-steady-guide outcome, which has been the pattern in three of the last four quarters.</w:t>
      </w:r>
    </w:p>
    <w:bookmarkEnd w:id="13"/>
    <w:bookmarkStart w:id="14" w:name="X49e34d9056703e0521ab3ce2e920b2c4ba97a36"/>
    <w:p>
      <w:pPr>
        <w:pStyle w:val="Heading2"/>
      </w:pPr>
      <w:r>
        <w:t xml:space="preserve">6. Bottom Line</w:t>
      </w:r>
    </w:p>
    <w:p>
      <w:pPr>
        <w:pStyle w:val="FirstParagraph"/>
      </w:pPr>
      <w:r>
        <w:t xml:space="preserve">Tomorrow's numbers themselves are likely to look soft year-over-year (EPS down roughly 20%+, revenue down mid-single-digits) purely on tough comps, and that shouldn't surprise anyone who has been tracking guidance. The real swing factors for the stock are (1) whether Mobile and Broad Markets trends into the September quarter still look "normal seasonal" as management has insisted, (2) any incremental gross-margin commentary given input-cost inflation, and (3) — most importantly for the multi-year thesis — any fresh detail on Qorvo merger timing, given management's own hint that a late-2026 close (versus the formal early-2027 guide) is increasingly plausible. With the stock already down sharply post-downgrade, the setup favors emphasis on forward commentary over the backward-looking quarter itself.</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2026-07-28T01:14:27Z</dcterms:created>
  <dcterms:modified xsi:type="dcterms:W3CDTF">2026-07-28T01:14:27Z</dcterms:modified>
</cp:coreProperties>
</file>

<file path=docProps/custom.xml><?xml version="1.0" encoding="utf-8"?>
<Properties xmlns="http://schemas.openxmlformats.org/officeDocument/2006/custom-properties" xmlns:vt="http://schemas.openxmlformats.org/officeDocument/2006/docPropsVTypes"/>
</file>