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~$946M vs. cons $939M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 vs. cons $1.04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adjusted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~45.1% vs. cons 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Q4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~$1.06B vs. cons $1.05B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Q4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~$1.43 vs. cons $1.41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Mobile sequential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~14% vs. cons 13% (fiscal 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+2.8% (FADE)</w:t>
            </w:r>
          </w:p>
        </w:tc>
        <w:tc>
          <w:tcPr/>
          <w:p>
            <w:pPr>
              <w:pStyle w:val="Compact"/>
            </w:pPr>
            <w:r>
              <w:t xml:space="preserve">A modest fiscal Q4 EPS guide of ~$1.43 versus consensus of $1.41 should lift near-term estimates, but limited out-period upside and merger/regulatory uncertainty likely cause the initial ~4.5% residual gain to fade toward ~2.8%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2026-07-28T01:07:56Z</dcterms:created>
  <dcterms:modified xsi:type="dcterms:W3CDTF">2026-07-28T01:07:56Z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