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swks-fiscal-q3-2026-earnings-preview"/>
    <w:p>
      <w:pPr>
        <w:pStyle w:val="Heading1"/>
      </w:pPr>
      <w:r>
        <w:t xml:space="preserve">SWKS Fiscal Q3 2026 Earnings Preview</w:t>
      </w:r>
    </w:p>
    <w:p>
      <w:pPr>
        <w:pStyle w:val="BlockText"/>
      </w:pPr>
      <w:r>
        <w:rPr>
          <w:b/>
          <w:bCs/>
        </w:rPr>
        <w:t xml:space="preserve">Timing note:</w:t>
      </w:r>
      <w:r>
        <w:t xml:space="preserve"> </w:t>
      </w:r>
      <w:r>
        <w:t xml:space="preserve">Skyworks is scheduled to report</w:t>
      </w:r>
      <w:r>
        <w:t xml:space="preserve"> </w:t>
      </w:r>
      <w:r>
        <w:rPr>
          <w:b/>
          <w:bCs/>
        </w:rPr>
        <w:t xml:space="preserve">after the market closes today, Tuesday, July 28, 2026</w:t>
      </w:r>
      <w:r>
        <w:t xml:space="preserve">, with the conference call at</w:t>
      </w:r>
      <w:r>
        <w:t xml:space="preserve"> </w:t>
      </w:r>
      <w:r>
        <w:rPr>
          <w:b/>
          <w:bCs/>
        </w:rPr>
        <w:t xml:space="preserve">4:30 p.m. EDT</w:t>
      </w:r>
      <w:r>
        <w:t xml:space="preserve">—not tomorrow. (</w:t>
      </w:r>
      <w:hyperlink r:id="rId9">
        <w:r>
          <w:rPr>
            <w:rStyle w:val="Hyperlink"/>
          </w:rPr>
          <w:t xml:space="preserve">investors.skyworksinc.com</w:t>
        </w:r>
      </w:hyperlink>
      <w:r>
        <w:t xml:space="preserve">)</w:t>
      </w:r>
    </w:p>
    <w:bookmarkStart w:id="10" w:name="executive-view"/>
    <w:p>
      <w:pPr>
        <w:pStyle w:val="Heading2"/>
      </w:pPr>
      <w:r>
        <w:t xml:space="preserve">Executive view</w:t>
      </w:r>
    </w:p>
    <w:p>
      <w:pPr>
        <w:pStyle w:val="FirstParagraph"/>
      </w:pPr>
      <w:r>
        <w:t xml:space="preserve">The June-quarter results should be relatively straightforward: management already guided to a normal seasonal decline in Mobile, modest sequential growth in Broad Markets, and roughly flat adjusted gross margin. The more important catalyst will be the</w:t>
      </w:r>
      <w:r>
        <w:t xml:space="preserve"> </w:t>
      </w:r>
      <w:r>
        <w:rPr>
          <w:b/>
          <w:bCs/>
        </w:rPr>
        <w:t xml:space="preserve">September-quarter outlook</w:t>
      </w:r>
      <w:r>
        <w:t xml:space="preserve">, when production for major smartphone launches normally ramps.</w:t>
      </w:r>
    </w:p>
    <w:p>
      <w:pPr>
        <w:pStyle w:val="BodyText"/>
      </w:pPr>
      <w:r>
        <w:t xml:space="preserve">A result near the midpoint of guidance may not be enough by itself. Investors will likely want three things:</w:t>
      </w:r>
    </w:p>
    <w:p>
      <w:pPr>
        <w:pStyle w:val="Compact"/>
        <w:numPr>
          <w:ilvl w:val="0"/>
          <w:numId w:val="1001"/>
        </w:numPr>
      </w:pPr>
      <w:r>
        <w:t xml:space="preserve">Confirmation of a normal second-half mobile ramp.</w:t>
      </w:r>
    </w:p>
    <w:p>
      <w:pPr>
        <w:pStyle w:val="Compact"/>
        <w:numPr>
          <w:ilvl w:val="0"/>
          <w:numId w:val="1001"/>
        </w:numPr>
      </w:pPr>
      <w:r>
        <w:t xml:space="preserve">Continued roughly double-digit growth in Broad Markets.</w:t>
      </w:r>
    </w:p>
    <w:p>
      <w:pPr>
        <w:pStyle w:val="Compact"/>
        <w:numPr>
          <w:ilvl w:val="0"/>
          <w:numId w:val="1001"/>
        </w:numPr>
      </w:pPr>
      <w:r>
        <w:t xml:space="preserve">Evidence that higher input costs and the pending Qorvo transaction are not undermining margins, cash flow or execution.</w:t>
      </w:r>
    </w:p>
    <w:bookmarkEnd w:id="10"/>
    <w:bookmarkStart w:id="12" w:name="key-benchmarks"/>
    <w:p>
      <w:pPr>
        <w:pStyle w:val="Heading2"/>
      </w:pPr>
      <w:r>
        <w:t xml:space="preserve">Key benchmarks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Management’s fiscal Q3 outlook</w:t>
            </w:r>
          </w:p>
        </w:tc>
        <w:tc>
          <w:tcPr/>
          <w:p>
            <w:pPr>
              <w:pStyle w:val="Compact"/>
            </w:pPr>
            <w:r>
              <w:t xml:space="preserve">What to watch</w:t>
            </w:r>
          </w:p>
        </w:tc>
      </w:tr>
      <w:tr>
        <w:tc>
          <w:tcPr/>
          <w:p>
            <w:pPr>
              <w:pStyle w:val="Compact"/>
            </w:pPr>
            <w:r>
              <w:t xml:space="preserve">Revenue</w:t>
            </w:r>
          </w:p>
        </w:tc>
        <w:tc>
          <w:tcPr/>
          <w:p>
            <w:pPr>
              <w:pStyle w:val="Compact"/>
              <w:jc w:val="right"/>
            </w:pPr>
            <m:oMath>
              <m:r>
                <m:t>900</m:t>
              </m:r>
              <m:r>
                <m:t>M</m:t>
              </m:r>
              <m:r>
                <m:rPr>
                  <m:sty m:val="p"/>
                </m:rPr>
                <m:t>–</m:t>
              </m:r>
            </m:oMath>
            <w:r>
              <w:rPr>
                <w:b/>
                <w:bCs/>
              </w:rPr>
              <w:t xml:space="preserve">950M</w:t>
            </w:r>
            <w:r>
              <w:t xml:space="preserve">; midpoint</w:t>
            </w:r>
            <w:r>
              <w:t xml:space="preserve"> </w:t>
            </w:r>
            <w:r>
              <w:rPr>
                <w:b/>
                <w:bCs/>
              </w:rPr>
              <w:t xml:space="preserve">$925M</w:t>
            </w:r>
          </w:p>
        </w:tc>
        <w:tc>
          <w:tcPr/>
          <w:p>
            <w:pPr>
              <w:pStyle w:val="Compact"/>
            </w:pPr>
            <w:r>
              <w:t xml:space="preserve">Public consensus aggregators range from roughly</w:t>
            </w:r>
            <w:r>
              <w:t xml:space="preserve"> </w:t>
            </w:r>
            <w:r>
              <w:rPr>
                <w:b/>
                <w:bCs/>
              </w:rPr>
              <w:t xml:space="preserve">$922M to $939M</w:t>
            </w:r>
          </w:p>
        </w:tc>
      </w:tr>
      <w:tr>
        <w:tc>
          <w:tcPr/>
          <w:p>
            <w:pPr>
              <w:pStyle w:val="Compact"/>
            </w:pPr>
            <w:r>
              <w:t xml:space="preserve">Adjusted EPS</w:t>
            </w:r>
          </w:p>
        </w:tc>
        <w:tc>
          <w:tcPr/>
          <w:p>
            <w:pPr>
              <w:pStyle w:val="Compact"/>
              <w:jc w:val="right"/>
            </w:pPr>
            <w:r>
              <w:rPr>
                <w:b/>
                <w:bCs/>
              </w:rPr>
              <w:t xml:space="preserve">$1.03</w:t>
            </w:r>
            <w:r>
              <w:t xml:space="preserve"> </w:t>
            </w:r>
            <w:r>
              <w:t xml:space="preserve">at the revenue midpoint</w:t>
            </w:r>
          </w:p>
        </w:tc>
        <w:tc>
          <w:tcPr/>
          <w:p>
            <w:pPr>
              <w:pStyle w:val="Compact"/>
            </w:pPr>
            <w:r>
              <w:t xml:space="preserve">Consensus is approximately</w:t>
            </w:r>
            <w:r>
              <w:t xml:space="preserve"> </w:t>
            </w:r>
            <m:oMath>
              <m:r>
                <m:t>1.03</m:t>
              </m:r>
              <m:r>
                <m:rPr>
                  <m:sty m:val="p"/>
                </m:rPr>
                <m:t>–</m:t>
              </m:r>
            </m:oMath>
            <w:r>
              <w:rPr>
                <w:b/>
                <w:bCs/>
              </w:rPr>
              <w:t xml:space="preserve">1.04</w:t>
            </w:r>
            <w:r>
              <w:t xml:space="preserve">, depending on source</w:t>
            </w:r>
          </w:p>
        </w:tc>
      </w:tr>
      <w:tr>
        <w:tc>
          <w:tcPr/>
          <w:p>
            <w:pPr>
              <w:pStyle w:val="Compact"/>
            </w:pPr>
            <w:r>
              <w:t xml:space="preserve">Adjusted gross margin</w:t>
            </w:r>
          </w:p>
        </w:tc>
        <w:tc>
          <w:tcPr/>
          <w:p>
            <w:pPr>
              <w:pStyle w:val="Compact"/>
              <w:jc w:val="right"/>
            </w:pPr>
            <w:r>
              <w:rPr>
                <w:b/>
                <w:bCs/>
              </w:rPr>
              <w:t xml:space="preserve">44.5%–45.5%</w:t>
            </w:r>
          </w:p>
        </w:tc>
        <w:tc>
          <w:tcPr/>
          <w:p>
            <w:pPr>
              <w:pStyle w:val="Compact"/>
            </w:pPr>
            <w:r>
              <w:t xml:space="preserve">Pricing, gold and other input costs</w:t>
            </w:r>
          </w:p>
        </w:tc>
      </w:tr>
      <w:tr>
        <w:tc>
          <w:tcPr/>
          <w:p>
            <w:pPr>
              <w:pStyle w:val="Compact"/>
            </w:pPr>
            <w:r>
              <w:t xml:space="preserve">Adjusted operating expenses</w:t>
            </w:r>
          </w:p>
        </w:tc>
        <w:tc>
          <w:tcPr/>
          <w:p>
            <w:pPr>
              <w:pStyle w:val="Compact"/>
              <w:jc w:val="right"/>
            </w:pPr>
            <m:oMath>
              <m:r>
                <m:t>235</m:t>
              </m:r>
              <m:r>
                <m:t>M</m:t>
              </m:r>
              <m:r>
                <m:rPr>
                  <m:sty m:val="p"/>
                </m:rPr>
                <m:t>–</m:t>
              </m:r>
            </m:oMath>
            <w:r>
              <w:rPr>
                <w:b/>
                <w:bCs/>
              </w:rPr>
              <w:t xml:space="preserve">245M</w:t>
            </w:r>
          </w:p>
        </w:tc>
        <w:tc>
          <w:tcPr/>
          <w:p>
            <w:pPr>
              <w:pStyle w:val="Compact"/>
            </w:pPr>
            <w:r>
              <w:t xml:space="preserve">R&amp;D investment and transaction-related spending</w:t>
            </w:r>
          </w:p>
        </w:tc>
      </w:tr>
      <w:tr>
        <w:tc>
          <w:tcPr/>
          <w:p>
            <w:pPr>
              <w:pStyle w:val="Compact"/>
            </w:pPr>
            <w:r>
              <w:t xml:space="preserve">Mobile</w:t>
            </w:r>
          </w:p>
        </w:tc>
        <w:tc>
          <w:tcPr/>
          <w:p>
            <w:pPr>
              <w:pStyle w:val="Compact"/>
              <w:jc w:val="right"/>
            </w:pPr>
            <w:r>
              <w:t xml:space="preserve">Down</w:t>
            </w:r>
            <w:r>
              <w:t xml:space="preserve"> </w:t>
            </w:r>
            <w:r>
              <w:rPr>
                <w:b/>
                <w:bCs/>
              </w:rPr>
              <w:t xml:space="preserve">low single digits sequentially</w:t>
            </w:r>
          </w:p>
        </w:tc>
        <w:tc>
          <w:tcPr/>
          <w:p>
            <w:pPr>
              <w:pStyle w:val="Compact"/>
            </w:pPr>
            <w:r>
              <w:t xml:space="preserve">Sell-through and September-quarter ramp</w:t>
            </w:r>
          </w:p>
        </w:tc>
      </w:tr>
      <w:tr>
        <w:tc>
          <w:tcPr/>
          <w:p>
            <w:pPr>
              <w:pStyle w:val="Compact"/>
            </w:pPr>
            <w:r>
              <w:t xml:space="preserve">Broad Markets</w:t>
            </w:r>
          </w:p>
        </w:tc>
        <w:tc>
          <w:tcPr/>
          <w:p>
            <w:pPr>
              <w:pStyle w:val="Compact"/>
              <w:jc w:val="right"/>
            </w:pPr>
            <w:r>
              <w:t xml:space="preserve">Up modestly sequentially;</w:t>
            </w:r>
            <w:r>
              <w:t xml:space="preserve"> </w:t>
            </w:r>
            <w:r>
              <w:rPr>
                <w:b/>
                <w:bCs/>
              </w:rPr>
              <w:t xml:space="preserve">43% of revenue</w:t>
            </w:r>
          </w:p>
        </w:tc>
        <w:tc>
          <w:tcPr/>
          <w:p>
            <w:pPr>
              <w:pStyle w:val="Compact"/>
            </w:pPr>
            <w:r>
              <w:t xml:space="preserve">Wi-Fi 7, automotive and data-center growth</w:t>
            </w:r>
          </w:p>
        </w:tc>
      </w:tr>
    </w:tbl>
    <w:p>
      <w:pPr>
        <w:pStyle w:val="BodyText"/>
      </w:pPr>
      <w:r>
        <w:t xml:space="preserve">Public estimates are unusually dispersed, but they generally sit close to management’s guidance rather than implying a major beat. (</w:t>
      </w:r>
      <w:hyperlink r:id="rId11">
        <w:r>
          <w:rPr>
            <w:rStyle w:val="Hyperlink"/>
          </w:rPr>
          <w:t xml:space="preserve">skyworksinc.com</w:t>
        </w:r>
      </w:hyperlink>
      <w:r>
        <w:t xml:space="preserve">)</w:t>
      </w:r>
    </w:p>
    <w:p>
      <w:pPr>
        <w:pStyle w:val="BodyText"/>
      </w:pPr>
      <w:r>
        <w:t xml:space="preserve">At the</w:t>
      </w:r>
      <w:r>
        <w:t xml:space="preserve"> </w:t>
      </w:r>
      <m:oMath>
        <m:r>
          <m:t>925</m:t>
        </m:r>
        <m:r>
          <m:t>m</m:t>
        </m:r>
        <m:r>
          <m:t>i</m:t>
        </m:r>
        <m:r>
          <m:t>l</m:t>
        </m:r>
        <m:r>
          <m:t>l</m:t>
        </m:r>
        <m:r>
          <m:t>i</m:t>
        </m:r>
        <m:r>
          <m:t>o</m:t>
        </m:r>
        <m:r>
          <m:t>n</m:t>
        </m:r>
        <m:r>
          <m:t>m</m:t>
        </m:r>
        <m:r>
          <m:t>i</m:t>
        </m:r>
        <m:r>
          <m:t>d</m:t>
        </m:r>
        <m:r>
          <m:t>p</m:t>
        </m:r>
        <m:r>
          <m:t>o</m:t>
        </m:r>
        <m:r>
          <m:t>i</m:t>
        </m:r>
        <m:r>
          <m:t>n</m:t>
        </m:r>
        <m:r>
          <m:t>t</m:t>
        </m:r>
        <m:r>
          <m:rPr>
            <m:sty m:val="p"/>
          </m:rPr>
          <m:t>,</m:t>
        </m:r>
        <m:r>
          <m:t>t</m:t>
        </m:r>
        <m:r>
          <m:t>h</m:t>
        </m:r>
        <m:r>
          <m:t>e</m:t>
        </m:r>
        <m:r>
          <m:t>s</m:t>
        </m:r>
        <m:r>
          <m:t>e</m:t>
        </m:r>
        <m:r>
          <m:t>g</m:t>
        </m:r>
        <m:r>
          <m:t>m</m:t>
        </m:r>
        <m:r>
          <m:t>e</m:t>
        </m:r>
        <m:r>
          <m:t>n</m:t>
        </m:r>
        <m:r>
          <m:t>t</m:t>
        </m:r>
        <m:r>
          <m:t>a</m:t>
        </m:r>
        <m:r>
          <m:t>s</m:t>
        </m:r>
        <m:r>
          <m:t>s</m:t>
        </m:r>
        <m:r>
          <m:t>u</m:t>
        </m:r>
        <m:r>
          <m:t>m</m:t>
        </m:r>
        <m:r>
          <m:t>p</m:t>
        </m:r>
        <m:r>
          <m:t>t</m:t>
        </m:r>
        <m:r>
          <m:t>i</m:t>
        </m:r>
        <m:r>
          <m:t>o</m:t>
        </m:r>
        <m:r>
          <m:t>n</m:t>
        </m:r>
        <m:r>
          <m:t>s</m:t>
        </m:r>
        <m:r>
          <m:t>i</m:t>
        </m:r>
        <m:r>
          <m:t>m</m:t>
        </m:r>
        <m:r>
          <m:t>p</m:t>
        </m:r>
        <m:r>
          <m:t>l</m:t>
        </m:r>
        <m:r>
          <m:t>y</m:t>
        </m:r>
        <m:r>
          <m:t>a</m:t>
        </m:r>
        <m:r>
          <m:t>p</m:t>
        </m:r>
        <m:r>
          <m:t>p</m:t>
        </m:r>
        <m:r>
          <m:t>r</m:t>
        </m:r>
        <m:r>
          <m:t>o</m:t>
        </m:r>
        <m:r>
          <m:t>x</m:t>
        </m:r>
        <m:r>
          <m:t>i</m:t>
        </m:r>
        <m:r>
          <m:t>m</m:t>
        </m:r>
        <m:r>
          <m:t>a</m:t>
        </m:r>
        <m:r>
          <m:t>t</m:t>
        </m:r>
        <m:r>
          <m:t>e</m:t>
        </m:r>
        <m:r>
          <m:t>l</m:t>
        </m:r>
        <m:r>
          <m:t>y</m:t>
        </m:r>
        <m:r>
          <m:rPr>
            <m:sty m:val="p"/>
          </m:rPr>
          <m:t>*</m:t>
        </m:r>
        <m:r>
          <m:rPr>
            <m:sty m:val="p"/>
          </m:rPr>
          <m:t>*</m:t>
        </m:r>
      </m:oMath>
      <w:r>
        <w:t xml:space="preserve">398 million of Broad Markets revenue** and</w:t>
      </w:r>
      <w:r>
        <w:t xml:space="preserve"> </w:t>
      </w:r>
      <w:r>
        <w:rPr>
          <w:b/>
          <w:bCs/>
        </w:rPr>
        <w:t xml:space="preserve">$527 million of Mobile revenue</w:t>
      </w:r>
      <w:r>
        <w:t xml:space="preserve">. That would leave Broad Markets almost flat sequentially despite an improving year-over-year comparison.</w:t>
      </w:r>
    </w:p>
    <w:bookmarkEnd w:id="12"/>
    <w:bookmarkStart w:id="13" w:name="X62e14b8409dcf39f6fb1747dbb8fee1f3c702d1"/>
    <w:p>
      <w:pPr>
        <w:pStyle w:val="Heading2"/>
      </w:pPr>
      <w:r>
        <w:t xml:space="preserve">The main event: September-quarter guidance</w:t>
      </w:r>
    </w:p>
    <w:p>
      <w:pPr>
        <w:pStyle w:val="FirstParagraph"/>
      </w:pPr>
      <w:r>
        <w:t xml:space="preserve">The fiscal Q3 print matters less than what management says about fiscal Q4.</w:t>
      </w:r>
    </w:p>
    <w:p>
      <w:pPr>
        <w:pStyle w:val="BodyText"/>
      </w:pPr>
      <w:r>
        <w:t xml:space="preserve">Skyworks’ last outlook assumed normal mobile seasonality and healthy customer demand. Therefore, investors should expect the September-quarter guide to reflect a meaningful sequential increase associated with new-device production. A merely modest increase—or cautious language about order changes, launch timing or sell-through—would challenge the prior “normal seasonality” narrative.</w:t>
      </w:r>
    </w:p>
    <w:p>
      <w:pPr>
        <w:pStyle w:val="BodyText"/>
      </w:pPr>
      <w:r>
        <w:t xml:space="preserve">The most important questions are:</w:t>
      </w:r>
    </w:p>
    <w:p>
      <w:pPr>
        <w:pStyle w:val="Compact"/>
        <w:numPr>
          <w:ilvl w:val="0"/>
          <w:numId w:val="1002"/>
        </w:numPr>
      </w:pPr>
      <w:r>
        <w:t xml:space="preserve">Is the mobile ramp tracking historical seasonal patterns?</w:t>
      </w:r>
    </w:p>
    <w:p>
      <w:pPr>
        <w:pStyle w:val="Compact"/>
        <w:numPr>
          <w:ilvl w:val="0"/>
          <w:numId w:val="1002"/>
        </w:numPr>
      </w:pPr>
      <w:r>
        <w:t xml:space="preserve">Has the company maintained its RF content position at its largest customer?</w:t>
      </w:r>
    </w:p>
    <w:p>
      <w:pPr>
        <w:pStyle w:val="Compact"/>
        <w:numPr>
          <w:ilvl w:val="0"/>
          <w:numId w:val="1002"/>
        </w:numPr>
      </w:pPr>
      <w:r>
        <w:t xml:space="preserve">Are customer forecasts becoming more volatile?</w:t>
      </w:r>
    </w:p>
    <w:p>
      <w:pPr>
        <w:pStyle w:val="Compact"/>
        <w:numPr>
          <w:ilvl w:val="0"/>
          <w:numId w:val="1002"/>
        </w:numPr>
      </w:pPr>
      <w:r>
        <w:t xml:space="preserve">Is mix favorable enough to improve gross margin as volumes rise?</w:t>
      </w:r>
    </w:p>
    <w:p>
      <w:pPr>
        <w:pStyle w:val="Compact"/>
        <w:numPr>
          <w:ilvl w:val="0"/>
          <w:numId w:val="1002"/>
        </w:numPr>
      </w:pPr>
      <w:r>
        <w:t xml:space="preserve">Are memory pricing, tariffs or other component costs affecting device production?</w:t>
      </w:r>
    </w:p>
    <w:p>
      <w:pPr>
        <w:pStyle w:val="FirstParagraph"/>
      </w:pPr>
      <w:r>
        <w:t xml:space="preserve">A solid fiscal Q3 beat paired with weak fiscal Q4 guidance would probably be viewed negatively. Conversely, an in-line June quarter could be forgiven if the September-quarter outlook is strong and credible.</w:t>
      </w:r>
    </w:p>
    <w:bookmarkEnd w:id="13"/>
    <w:bookmarkStart w:id="15" w:name="X026e46bf3a37f139aac09f504cd24d784cea9a1"/>
    <w:p>
      <w:pPr>
        <w:pStyle w:val="Heading2"/>
      </w:pPr>
      <w:r>
        <w:t xml:space="preserve">Mobile: concentration remains the core risk</w:t>
      </w:r>
    </w:p>
    <w:p>
      <w:pPr>
        <w:pStyle w:val="FirstParagraph"/>
      </w:pPr>
      <w:r>
        <w:t xml:space="preserve">Mobile represented</w:t>
      </w:r>
      <w:r>
        <w:t xml:space="preserve"> </w:t>
      </w:r>
      <w:r>
        <w:rPr>
          <w:b/>
          <w:bCs/>
        </w:rPr>
        <w:t xml:space="preserve">58% of fiscal Q2 revenue</w:t>
      </w:r>
      <w:r>
        <w:t xml:space="preserve">, while the largest customer represented approximately</w:t>
      </w:r>
      <w:r>
        <w:t xml:space="preserve"> </w:t>
      </w:r>
      <w:r>
        <w:rPr>
          <w:b/>
          <w:bCs/>
        </w:rPr>
        <w:t xml:space="preserve">60% of total company revenue</w:t>
      </w:r>
      <w:r>
        <w:t xml:space="preserve">. Management said fiscal Q2 mobile sales exceeded expectations due to healthy sell-through and product execution. (</w:t>
      </w:r>
      <w:hyperlink r:id="rId11">
        <w:r>
          <w:rPr>
            <w:rStyle w:val="Hyperlink"/>
          </w:rPr>
          <w:t xml:space="preserve">skyworksinc.com</w:t>
        </w:r>
      </w:hyperlink>
      <w:r>
        <w:t xml:space="preserve">)</w:t>
      </w:r>
    </w:p>
    <w:p>
      <w:pPr>
        <w:pStyle w:val="BodyText"/>
      </w:pPr>
      <w:r>
        <w:t xml:space="preserve">That concentration makes the upcoming customer-launch cycle the largest near-term earnings variable. Investors should focus less on broad statements about total smartphone units and more on:</w:t>
      </w:r>
    </w:p>
    <w:p>
      <w:pPr>
        <w:pStyle w:val="Compact"/>
        <w:numPr>
          <w:ilvl w:val="0"/>
          <w:numId w:val="1003"/>
        </w:numPr>
      </w:pPr>
      <w:r>
        <w:rPr>
          <w:b/>
          <w:bCs/>
        </w:rPr>
        <w:t xml:space="preserve">Content per device:</w:t>
      </w:r>
      <w:r>
        <w:t xml:space="preserve"> </w:t>
      </w:r>
      <w:r>
        <w:t xml:space="preserve">Management previously described its near-term blended content position as roughly stable. Any indication of share or socket losses would be important.</w:t>
      </w:r>
    </w:p>
    <w:p>
      <w:pPr>
        <w:pStyle w:val="Compact"/>
        <w:numPr>
          <w:ilvl w:val="0"/>
          <w:numId w:val="1003"/>
        </w:numPr>
      </w:pPr>
      <w:r>
        <w:rPr>
          <w:b/>
          <w:bCs/>
        </w:rPr>
        <w:t xml:space="preserve">Model mix:</w:t>
      </w:r>
      <w:r>
        <w:t xml:space="preserve"> </w:t>
      </w:r>
      <w:r>
        <w:t xml:space="preserve">Premium-device demand matters more than aggregate handset units because Skyworks is weighted toward higher-complexity products.</w:t>
      </w:r>
    </w:p>
    <w:p>
      <w:pPr>
        <w:pStyle w:val="Compact"/>
        <w:numPr>
          <w:ilvl w:val="0"/>
          <w:numId w:val="1003"/>
        </w:numPr>
      </w:pPr>
      <w:r>
        <w:rPr>
          <w:b/>
          <w:bCs/>
        </w:rPr>
        <w:t xml:space="preserve">Internal modem transition:</w:t>
      </w:r>
      <w:r>
        <w:t xml:space="preserve"> </w:t>
      </w:r>
      <w:r>
        <w:t xml:space="preserve">Management has presented changes in modem architecture as a potential source of new RF opportunities, but investors need evidence that this translates into incremental revenue.</w:t>
      </w:r>
    </w:p>
    <w:p>
      <w:pPr>
        <w:pStyle w:val="Compact"/>
        <w:numPr>
          <w:ilvl w:val="0"/>
          <w:numId w:val="1003"/>
        </w:numPr>
      </w:pPr>
      <w:r>
        <w:rPr>
          <w:b/>
          <w:bCs/>
        </w:rPr>
        <w:t xml:space="preserve">Android win:</w:t>
      </w:r>
      <w:r>
        <w:t xml:space="preserve"> </w:t>
      </w:r>
      <w:r>
        <w:t xml:space="preserve">Skyworks announced a multigenerational premium Android design win expected to generate more than</w:t>
      </w:r>
      <w:r>
        <w:t xml:space="preserve"> </w:t>
      </w:r>
      <w:r>
        <w:rPr>
          <w:b/>
          <w:bCs/>
        </w:rPr>
        <w:t xml:space="preserve">$1 billion through 2030</w:t>
      </w:r>
      <w:r>
        <w:t xml:space="preserve">, with revenue expected to increase over time. The call should clarify when the contribution becomes financially visible and whether it changes the company’s historically limited exposure to profitable premium Android programs. (</w:t>
      </w:r>
      <w:hyperlink r:id="rId14">
        <w:r>
          <w:rPr>
            <w:rStyle w:val="Hyperlink"/>
          </w:rPr>
          <w:t xml:space="preserve">investors.skyworksinc.com</w:t>
        </w:r>
      </w:hyperlink>
      <w:r>
        <w:t xml:space="preserve">)</w:t>
      </w:r>
    </w:p>
    <w:p>
      <w:pPr>
        <w:pStyle w:val="FirstParagraph"/>
      </w:pPr>
      <w:r>
        <w:t xml:space="preserve">The Android win is strategically encouraging, but it is unlikely to determine this quarter’s result. The immediate debate remains execution at the largest customer.</w:t>
      </w:r>
    </w:p>
    <w:bookmarkEnd w:id="15"/>
    <w:bookmarkStart w:id="16" w:name="X2dba5acb2fff5018b12d696f26ff9a81b95a806"/>
    <w:p>
      <w:pPr>
        <w:pStyle w:val="Heading2"/>
      </w:pPr>
      <w:r>
        <w:t xml:space="preserve">Broad Markets: diversification must remain visible</w:t>
      </w:r>
    </w:p>
    <w:p>
      <w:pPr>
        <w:pStyle w:val="FirstParagraph"/>
      </w:pPr>
      <w:r>
        <w:t xml:space="preserve">Broad Markets was the strongest part of the fiscal Q2 narrative:</w:t>
      </w:r>
    </w:p>
    <w:p>
      <w:pPr>
        <w:pStyle w:val="Compact"/>
        <w:numPr>
          <w:ilvl w:val="0"/>
          <w:numId w:val="1004"/>
        </w:numPr>
      </w:pPr>
      <w:r>
        <w:t xml:space="preserve">Revenue represented</w:t>
      </w:r>
      <w:r>
        <w:t xml:space="preserve"> </w:t>
      </w:r>
      <w:r>
        <w:rPr>
          <w:b/>
          <w:bCs/>
        </w:rPr>
        <w:t xml:space="preserve">42% of company sales</w:t>
      </w:r>
      <w:r>
        <w:t xml:space="preserve">.</w:t>
      </w:r>
    </w:p>
    <w:p>
      <w:pPr>
        <w:pStyle w:val="Compact"/>
        <w:numPr>
          <w:ilvl w:val="0"/>
          <w:numId w:val="1004"/>
        </w:numPr>
      </w:pPr>
      <w:r>
        <w:t xml:space="preserve">It increased</w:t>
      </w:r>
      <w:r>
        <w:t xml:space="preserve"> </w:t>
      </w:r>
      <w:r>
        <w:rPr>
          <w:b/>
          <w:bCs/>
        </w:rPr>
        <w:t xml:space="preserve">10% year over year</w:t>
      </w:r>
      <w:r>
        <w:t xml:space="preserve">.</w:t>
      </w:r>
    </w:p>
    <w:p>
      <w:pPr>
        <w:pStyle w:val="Compact"/>
        <w:numPr>
          <w:ilvl w:val="0"/>
          <w:numId w:val="1004"/>
        </w:numPr>
      </w:pPr>
      <w:r>
        <w:t xml:space="preserve">Wi-Fi, data center and automotive accounted for nearly two-thirds of the segment and collectively grew approximately</w:t>
      </w:r>
      <w:r>
        <w:t xml:space="preserve"> </w:t>
      </w:r>
      <w:r>
        <w:rPr>
          <w:b/>
          <w:bCs/>
        </w:rPr>
        <w:t xml:space="preserve">30%</w:t>
      </w:r>
      <w:r>
        <w:t xml:space="preserve">.</w:t>
      </w:r>
    </w:p>
    <w:p>
      <w:pPr>
        <w:pStyle w:val="Compact"/>
        <w:numPr>
          <w:ilvl w:val="0"/>
          <w:numId w:val="1004"/>
        </w:numPr>
      </w:pPr>
      <w:r>
        <w:t xml:space="preserve">Management expected its still-small data-center business to grow nearly</w:t>
      </w:r>
      <w:r>
        <w:t xml:space="preserve"> </w:t>
      </w:r>
      <w:r>
        <w:rPr>
          <w:b/>
          <w:bCs/>
        </w:rPr>
        <w:t xml:space="preserve">50% in fiscal 2026</w:t>
      </w:r>
      <w:r>
        <w:t xml:space="preserve">. (</w:t>
      </w:r>
      <w:hyperlink r:id="rId11">
        <w:r>
          <w:rPr>
            <w:rStyle w:val="Hyperlink"/>
          </w:rPr>
          <w:t xml:space="preserve">skyworksinc.com</w:t>
        </w:r>
      </w:hyperlink>
      <w:r>
        <w:t xml:space="preserve">)</w:t>
      </w:r>
    </w:p>
    <w:p>
      <w:pPr>
        <w:pStyle w:val="FirstParagraph"/>
      </w:pPr>
      <w:r>
        <w:t xml:space="preserve">For fiscal Q3, management forecast Broad Markets at approximately 43% of revenue, up modestly sequentially and high single digits year over year. The quality of that result matters: growth led by Wi-Fi 7, precision timing, automotive connectivity and power products would reinforce the diversification thesis.</w:t>
      </w:r>
    </w:p>
    <w:p>
      <w:pPr>
        <w:pStyle w:val="BodyText"/>
      </w:pPr>
      <w:r>
        <w:t xml:space="preserve">Key questions include:</w:t>
      </w:r>
    </w:p>
    <w:p>
      <w:pPr>
        <w:pStyle w:val="Compact"/>
        <w:numPr>
          <w:ilvl w:val="0"/>
          <w:numId w:val="1005"/>
        </w:numPr>
      </w:pPr>
      <w:r>
        <w:t xml:space="preserve">Does Wi-Fi 7 remain the largest near-term growth driver?</w:t>
      </w:r>
    </w:p>
    <w:p>
      <w:pPr>
        <w:pStyle w:val="Compact"/>
        <w:numPr>
          <w:ilvl w:val="0"/>
          <w:numId w:val="1005"/>
        </w:numPr>
      </w:pPr>
      <w:r>
        <w:t xml:space="preserve">Is data-center growth broadening beyond a small number of programs?</w:t>
      </w:r>
    </w:p>
    <w:p>
      <w:pPr>
        <w:pStyle w:val="Compact"/>
        <w:numPr>
          <w:ilvl w:val="0"/>
          <w:numId w:val="1005"/>
        </w:numPr>
      </w:pPr>
      <w:r>
        <w:t xml:space="preserve">Are automotive design wins beginning to contribute meaningful revenue?</w:t>
      </w:r>
    </w:p>
    <w:p>
      <w:pPr>
        <w:pStyle w:val="Compact"/>
        <w:numPr>
          <w:ilvl w:val="0"/>
          <w:numId w:val="1005"/>
        </w:numPr>
      </w:pPr>
      <w:r>
        <w:t xml:space="preserve">Can Broad Markets continue growing as comparisons become more difficult?</w:t>
      </w:r>
    </w:p>
    <w:p>
      <w:pPr>
        <w:pStyle w:val="Compact"/>
        <w:numPr>
          <w:ilvl w:val="0"/>
          <w:numId w:val="1005"/>
        </w:numPr>
      </w:pPr>
      <w:r>
        <w:t xml:space="preserve">Does its improving mix lift corporate gross margin?</w:t>
      </w:r>
    </w:p>
    <w:p>
      <w:pPr>
        <w:pStyle w:val="FirstParagraph"/>
      </w:pPr>
      <w:r>
        <w:t xml:space="preserve">A miss in Broad Markets would be more concerning than a small mobile miss because it would weaken the argument that Skyworks is becoming less dependent on smartphone cycles.</w:t>
      </w:r>
    </w:p>
    <w:bookmarkEnd w:id="16"/>
    <w:bookmarkStart w:id="17" w:name="Xe0d3c00219774139019d9482004a1c1674c0b98"/>
    <w:p>
      <w:pPr>
        <w:pStyle w:val="Heading2"/>
      </w:pPr>
      <w:r>
        <w:t xml:space="preserve">Margins: stable is acceptable, expansion would be better</w:t>
      </w:r>
    </w:p>
    <w:p>
      <w:pPr>
        <w:pStyle w:val="FirstParagraph"/>
      </w:pPr>
      <w:r>
        <w:t xml:space="preserve">Fiscal Q2 adjusted gross margin was</w:t>
      </w:r>
      <w:r>
        <w:t xml:space="preserve"> </w:t>
      </w:r>
      <w:r>
        <w:rPr>
          <w:b/>
          <w:bCs/>
        </w:rPr>
        <w:t xml:space="preserve">45.0%</w:t>
      </w:r>
      <w:r>
        <w:t xml:space="preserve">. Management guided fiscal Q3 to</w:t>
      </w:r>
      <w:r>
        <w:t xml:space="preserve"> </w:t>
      </w:r>
      <w:r>
        <w:rPr>
          <w:b/>
          <w:bCs/>
        </w:rPr>
        <w:t xml:space="preserve">44.5%–45.5%</w:t>
      </w:r>
      <w:r>
        <w:t xml:space="preserve">, saying lower seasonal volume and higher input costs would be offset by cost controls, pricing and manufacturing optimization. (</w:t>
      </w:r>
      <w:hyperlink r:id="rId11">
        <w:r>
          <w:rPr>
            <w:rStyle w:val="Hyperlink"/>
          </w:rPr>
          <w:t xml:space="preserve">skyworksinc.com</w:t>
        </w:r>
      </w:hyperlink>
      <w:r>
        <w:t xml:space="preserve">)</w:t>
      </w:r>
    </w:p>
    <w:p>
      <w:pPr>
        <w:pStyle w:val="BodyText"/>
      </w:pPr>
      <w:r>
        <w:t xml:space="preserve">Investors should listen for:</w:t>
      </w:r>
    </w:p>
    <w:p>
      <w:pPr>
        <w:pStyle w:val="Compact"/>
        <w:numPr>
          <w:ilvl w:val="0"/>
          <w:numId w:val="1006"/>
        </w:numPr>
      </w:pPr>
      <w:r>
        <w:t xml:space="preserve">Whether selective price increases are sticking.</w:t>
      </w:r>
    </w:p>
    <w:p>
      <w:pPr>
        <w:pStyle w:val="Compact"/>
        <w:numPr>
          <w:ilvl w:val="0"/>
          <w:numId w:val="1006"/>
        </w:numPr>
      </w:pPr>
      <w:r>
        <w:t xml:space="preserve">Changes in gold and other material costs.</w:t>
      </w:r>
    </w:p>
    <w:p>
      <w:pPr>
        <w:pStyle w:val="Compact"/>
        <w:numPr>
          <w:ilvl w:val="0"/>
          <w:numId w:val="1006"/>
        </w:numPr>
      </w:pPr>
      <w:r>
        <w:t xml:space="preserve">Fab utilization entering the seasonal mobile ramp.</w:t>
      </w:r>
    </w:p>
    <w:p>
      <w:pPr>
        <w:pStyle w:val="Compact"/>
        <w:numPr>
          <w:ilvl w:val="0"/>
          <w:numId w:val="1006"/>
        </w:numPr>
      </w:pPr>
      <w:r>
        <w:t xml:space="preserve">Broad Markets mix benefits.</w:t>
      </w:r>
    </w:p>
    <w:p>
      <w:pPr>
        <w:pStyle w:val="Compact"/>
        <w:numPr>
          <w:ilvl w:val="0"/>
          <w:numId w:val="1006"/>
        </w:numPr>
      </w:pPr>
      <w:r>
        <w:t xml:space="preserve">Any revised path toward the combined company’s longer-term margin targets.</w:t>
      </w:r>
    </w:p>
    <w:p>
      <w:pPr>
        <w:pStyle w:val="FirstParagraph"/>
      </w:pPr>
      <w:r>
        <w:t xml:space="preserve">An adjusted gross margin below 44.5% would be a clear negative, especially if accompanied by higher inventory. A result above 45% plus guidance for sequential improvement would suggest cost pressures are manageable.</w:t>
      </w:r>
    </w:p>
    <w:p>
      <w:pPr>
        <w:pStyle w:val="BodyText"/>
      </w:pPr>
      <w:r>
        <w:t xml:space="preserve">Investors should also keep the GAAP/non-GAAP distinction in mind. Last quarter, Skyworks reported</w:t>
      </w:r>
      <w:r>
        <w:t xml:space="preserve"> </w:t>
      </w:r>
      <w:r>
        <w:rPr>
          <w:b/>
          <w:bCs/>
        </w:rPr>
        <w:t xml:space="preserve">$0.24 of GAAP EPS versus $1.15 adjusted EPS</w:t>
      </w:r>
      <w:r>
        <w:t xml:space="preserve">, reflecting amortization, stock compensation, restructuring and transaction-related items. (</w:t>
      </w:r>
      <w:hyperlink r:id="rId14">
        <w:r>
          <w:rPr>
            <w:rStyle w:val="Hyperlink"/>
          </w:rPr>
          <w:t xml:space="preserve">investors.skyworksinc.com</w:t>
        </w:r>
      </w:hyperlink>
      <w:r>
        <w:t xml:space="preserve">)</w:t>
      </w:r>
    </w:p>
    <w:bookmarkEnd w:id="17"/>
    <w:bookmarkStart w:id="19" w:name="X45491438e2b03969258cd3795ea2a490cda48f8"/>
    <w:p>
      <w:pPr>
        <w:pStyle w:val="Heading2"/>
      </w:pPr>
      <w:r>
        <w:t xml:space="preserve">Inventory and cash flow deserve attention</w:t>
      </w:r>
    </w:p>
    <w:p>
      <w:pPr>
        <w:pStyle w:val="FirstParagraph"/>
      </w:pPr>
      <w:r>
        <w:t xml:space="preserve">Skyworks’ inventory reached</w:t>
      </w:r>
      <w:r>
        <w:t xml:space="preserve"> </w:t>
      </w:r>
      <m:oMath>
        <m:r>
          <m:t>885.6</m:t>
        </m:r>
        <m:r>
          <m:t>m</m:t>
        </m:r>
        <m:r>
          <m:t>i</m:t>
        </m:r>
        <m:r>
          <m:t>l</m:t>
        </m:r>
        <m:r>
          <m:t>l</m:t>
        </m:r>
        <m:r>
          <m:t>i</m:t>
        </m:r>
        <m:r>
          <m:t>o</m:t>
        </m:r>
        <m:r>
          <m:t>n</m:t>
        </m:r>
        <m:r>
          <m:t>o</m:t>
        </m:r>
        <m:r>
          <m:t>n</m:t>
        </m:r>
        <m:r>
          <m:t>A</m:t>
        </m:r>
        <m:r>
          <m:t>p</m:t>
        </m:r>
        <m:r>
          <m:t>r</m:t>
        </m:r>
        <m:r>
          <m:t>i</m:t>
        </m:r>
        <m:r>
          <m:t>l</m:t>
        </m:r>
        <m:r>
          <m:t>3</m:t>
        </m:r>
        <m:r>
          <m:rPr>
            <m:sty m:val="p"/>
          </m:rPr>
          <m:t>*</m:t>
        </m:r>
        <m:r>
          <m:rPr>
            <m:sty m:val="p"/>
          </m:rPr>
          <m:t>*</m:t>
        </m:r>
        <m:r>
          <m:rPr>
            <m:sty m:val="p"/>
          </m:rPr>
          <m:t>,</m:t>
        </m:r>
        <m:r>
          <m:t>u</m:t>
        </m:r>
        <m:r>
          <m:t>p</m:t>
        </m:r>
        <m:r>
          <m:t>f</m:t>
        </m:r>
        <m:r>
          <m:t>r</m:t>
        </m:r>
        <m:r>
          <m:t>o</m:t>
        </m:r>
        <m:r>
          <m:t>m</m:t>
        </m:r>
        <m:r>
          <m:rPr>
            <m:sty m:val="p"/>
          </m:rPr>
          <m:t>*</m:t>
        </m:r>
        <m:r>
          <m:rPr>
            <m:sty m:val="p"/>
          </m:rPr>
          <m:t>*</m:t>
        </m:r>
      </m:oMath>
      <w:r>
        <w:rPr>
          <w:b/>
          <w:bCs/>
        </w:rPr>
        <w:t xml:space="preserve">754.7 million at the beginning of the fiscal year</w:t>
      </w:r>
      <w:r>
        <w:t xml:space="preserve">. Finished goods increased particularly sharply, from $169.3 million to $270.7 million. The company nevertheless described channel inventory as lean. (</w:t>
      </w:r>
      <w:hyperlink r:id="rId18">
        <w:r>
          <w:rPr>
            <w:rStyle w:val="Hyperlink"/>
          </w:rPr>
          <w:t xml:space="preserve">sec.gov</w:t>
        </w:r>
      </w:hyperlink>
      <w:r>
        <w:t xml:space="preserve">)</w:t>
      </w:r>
    </w:p>
    <w:p>
      <w:pPr>
        <w:pStyle w:val="BodyText"/>
      </w:pPr>
      <w:r>
        <w:t xml:space="preserve">That combination is not necessarily problematic—internal inventory can rise ahead of seasonal customer launches—but investors should ask whether the build is supported by firm orders. Watch for:</w:t>
      </w:r>
    </w:p>
    <w:p>
      <w:pPr>
        <w:pStyle w:val="Compact"/>
        <w:numPr>
          <w:ilvl w:val="0"/>
          <w:numId w:val="1007"/>
        </w:numPr>
      </w:pPr>
      <w:r>
        <w:t xml:space="preserve">A further increase in finished goods.</w:t>
      </w:r>
    </w:p>
    <w:p>
      <w:pPr>
        <w:pStyle w:val="Compact"/>
        <w:numPr>
          <w:ilvl w:val="0"/>
          <w:numId w:val="1007"/>
        </w:numPr>
      </w:pPr>
      <w:r>
        <w:t xml:space="preserve">Inventory growth outpacing the September-quarter revenue outlook.</w:t>
      </w:r>
    </w:p>
    <w:p>
      <w:pPr>
        <w:pStyle w:val="Compact"/>
        <w:numPr>
          <w:ilvl w:val="0"/>
          <w:numId w:val="1007"/>
        </w:numPr>
      </w:pPr>
      <w:r>
        <w:t xml:space="preserve">Weak operating cash flow despite stable adjusted earnings.</w:t>
      </w:r>
    </w:p>
    <w:p>
      <w:pPr>
        <w:pStyle w:val="Compact"/>
        <w:numPr>
          <w:ilvl w:val="0"/>
          <w:numId w:val="1007"/>
        </w:numPr>
      </w:pPr>
      <w:r>
        <w:t xml:space="preserve">Management explanations involving launch preparation rather than slower sell-through.</w:t>
      </w:r>
    </w:p>
    <w:p>
      <w:pPr>
        <w:pStyle w:val="FirstParagraph"/>
      </w:pPr>
      <w:r>
        <w:t xml:space="preserve">A reduction or normalization in inventory would improve the quality of the report.</w:t>
      </w:r>
    </w:p>
    <w:bookmarkEnd w:id="19"/>
    <w:bookmarkStart w:id="22" w:name="X825e97baa1b623517d5d2c89fea9a912a5b1628"/>
    <w:p>
      <w:pPr>
        <w:pStyle w:val="Heading2"/>
      </w:pPr>
      <w:r>
        <w:t xml:space="preserve">Qorvo merger: regulatory timing is the incremental issue</w:t>
      </w:r>
    </w:p>
    <w:p>
      <w:pPr>
        <w:pStyle w:val="FirstParagraph"/>
      </w:pPr>
      <w:r>
        <w:t xml:space="preserve">Skyworks previously said the Qorvo combination had entered</w:t>
      </w:r>
      <w:r>
        <w:t xml:space="preserve"> </w:t>
      </w:r>
      <w:r>
        <w:rPr>
          <w:b/>
          <w:bCs/>
        </w:rPr>
        <w:t xml:space="preserve">Phase II of China’s SAMR review</w:t>
      </w:r>
      <w:r>
        <w:t xml:space="preserve">. Formal guidance remained for an early-calendar-2027 closing, although management said it was increasingly hopeful for late 2026. The company continues to target at least</w:t>
      </w:r>
      <w:r>
        <w:t xml:space="preserve"> </w:t>
      </w:r>
      <w:r>
        <w:rPr>
          <w:b/>
          <w:bCs/>
        </w:rPr>
        <w:t xml:space="preserve">$500 million of synergies</w:t>
      </w:r>
      <w:r>
        <w:t xml:space="preserve">. (</w:t>
      </w:r>
      <w:hyperlink r:id="rId11">
        <w:r>
          <w:rPr>
            <w:rStyle w:val="Hyperlink"/>
          </w:rPr>
          <w:t xml:space="preserve">skyworksinc.com</w:t>
        </w:r>
      </w:hyperlink>
      <w:r>
        <w:t xml:space="preserve">)</w:t>
      </w:r>
    </w:p>
    <w:p>
      <w:pPr>
        <w:pStyle w:val="BodyText"/>
      </w:pPr>
      <w:r>
        <w:t xml:space="preserve">The transaction has shareholder approval, but the companies received an FTC second request in February. Taiwan’s competition authority approved the combination on May 13. (</w:t>
      </w:r>
      <w:hyperlink r:id="rId20">
        <w:r>
          <w:rPr>
            <w:rStyle w:val="Hyperlink"/>
          </w:rPr>
          <w:t xml:space="preserve">ftc.gov.tw</w:t>
        </w:r>
      </w:hyperlink>
      <w:r>
        <w:t xml:space="preserve">)</w:t>
      </w:r>
    </w:p>
    <w:p>
      <w:pPr>
        <w:pStyle w:val="BodyText"/>
      </w:pPr>
      <w:r>
        <w:t xml:space="preserve">The most useful update would cover:</w:t>
      </w:r>
    </w:p>
    <w:p>
      <w:pPr>
        <w:pStyle w:val="Compact"/>
        <w:numPr>
          <w:ilvl w:val="0"/>
          <w:numId w:val="1008"/>
        </w:numPr>
      </w:pPr>
      <w:r>
        <w:t xml:space="preserve">Progress with U.S. and Chinese regulators.</w:t>
      </w:r>
    </w:p>
    <w:p>
      <w:pPr>
        <w:pStyle w:val="Compact"/>
        <w:numPr>
          <w:ilvl w:val="0"/>
          <w:numId w:val="1008"/>
        </w:numPr>
      </w:pPr>
      <w:r>
        <w:t xml:space="preserve">Whether late 2026 remains realistic.</w:t>
      </w:r>
    </w:p>
    <w:p>
      <w:pPr>
        <w:pStyle w:val="Compact"/>
        <w:numPr>
          <w:ilvl w:val="0"/>
          <w:numId w:val="1008"/>
        </w:numPr>
      </w:pPr>
      <w:r>
        <w:t xml:space="preserve">Any potential remedies or divestitures.</w:t>
      </w:r>
    </w:p>
    <w:p>
      <w:pPr>
        <w:pStyle w:val="Compact"/>
        <w:numPr>
          <w:ilvl w:val="0"/>
          <w:numId w:val="1008"/>
        </w:numPr>
      </w:pPr>
      <w:r>
        <w:t xml:space="preserve">Integration-readiness and synergy timing.</w:t>
      </w:r>
    </w:p>
    <w:p>
      <w:pPr>
        <w:pStyle w:val="Compact"/>
        <w:numPr>
          <w:ilvl w:val="0"/>
          <w:numId w:val="1008"/>
        </w:numPr>
      </w:pPr>
      <w:r>
        <w:t xml:space="preserve">Financing costs and the effect on post-close leverage.</w:t>
      </w:r>
    </w:p>
    <w:p>
      <w:pPr>
        <w:pStyle w:val="Compact"/>
        <w:numPr>
          <w:ilvl w:val="0"/>
          <w:numId w:val="1008"/>
        </w:numPr>
      </w:pPr>
      <w:r>
        <w:t xml:space="preserve">Whether management remains committed to the dividend and existing capital-return priorities.</w:t>
      </w:r>
    </w:p>
    <w:p>
      <w:pPr>
        <w:pStyle w:val="FirstParagraph"/>
      </w:pPr>
      <w:r>
        <w:t xml:space="preserve">The debt-exchange preparations are constructive administratively, but they remain conditioned on completion of the merger and should not be interpreted as proof that regulatory approval is imminent. (</w:t>
      </w:r>
      <w:hyperlink r:id="rId21">
        <w:r>
          <w:rPr>
            <w:rStyle w:val="Hyperlink"/>
          </w:rPr>
          <w:t xml:space="preserve">investors.skyworksinc.com</w:t>
        </w:r>
      </w:hyperlink>
      <w:r>
        <w:t xml:space="preserve">)</w:t>
      </w:r>
    </w:p>
    <w:bookmarkEnd w:id="22"/>
    <w:bookmarkStart w:id="26" w:name="scenario-framework"/>
    <w:p>
      <w:pPr>
        <w:pStyle w:val="Heading2"/>
      </w:pPr>
      <w:r>
        <w:t xml:space="preserve">Scenario framework</w:t>
      </w:r>
    </w:p>
    <w:bookmarkStart w:id="23" w:name="bull-case"/>
    <w:p>
      <w:pPr>
        <w:pStyle w:val="Heading3"/>
      </w:pPr>
      <w:r>
        <w:t xml:space="preserve">Bull case</w:t>
      </w:r>
    </w:p>
    <w:p>
      <w:pPr>
        <w:pStyle w:val="Compact"/>
        <w:numPr>
          <w:ilvl w:val="0"/>
          <w:numId w:val="1009"/>
        </w:numPr>
      </w:pPr>
      <w:r>
        <w:t xml:space="preserve">Revenue above the upper half of guidance.</w:t>
      </w:r>
    </w:p>
    <w:p>
      <w:pPr>
        <w:pStyle w:val="Compact"/>
        <w:numPr>
          <w:ilvl w:val="0"/>
          <w:numId w:val="1009"/>
        </w:numPr>
      </w:pPr>
      <w:r>
        <w:t xml:space="preserve">Adjusted EPS above $1.03.</w:t>
      </w:r>
    </w:p>
    <w:p>
      <w:pPr>
        <w:pStyle w:val="Compact"/>
        <w:numPr>
          <w:ilvl w:val="0"/>
          <w:numId w:val="1009"/>
        </w:numPr>
      </w:pPr>
      <w:r>
        <w:t xml:space="preserve">Gross margin at or above 45%.</w:t>
      </w:r>
    </w:p>
    <w:p>
      <w:pPr>
        <w:pStyle w:val="Compact"/>
        <w:numPr>
          <w:ilvl w:val="0"/>
          <w:numId w:val="1009"/>
        </w:numPr>
      </w:pPr>
      <w:r>
        <w:t xml:space="preserve">Broad Markets maintains double-digit growth.</w:t>
      </w:r>
    </w:p>
    <w:p>
      <w:pPr>
        <w:pStyle w:val="Compact"/>
        <w:numPr>
          <w:ilvl w:val="0"/>
          <w:numId w:val="1009"/>
        </w:numPr>
      </w:pPr>
      <w:r>
        <w:t xml:space="preserve">September-quarter outlook indicates a normal or better mobile ramp.</w:t>
      </w:r>
    </w:p>
    <w:p>
      <w:pPr>
        <w:pStyle w:val="Compact"/>
        <w:numPr>
          <w:ilvl w:val="0"/>
          <w:numId w:val="1009"/>
        </w:numPr>
      </w:pPr>
      <w:r>
        <w:t xml:space="preserve">No deterioration in largest-customer content.</w:t>
      </w:r>
    </w:p>
    <w:p>
      <w:pPr>
        <w:pStyle w:val="Compact"/>
        <w:numPr>
          <w:ilvl w:val="0"/>
          <w:numId w:val="1009"/>
        </w:numPr>
      </w:pPr>
      <w:r>
        <w:t xml:space="preserve">Constructive Qorvo regulatory update.</w:t>
      </w:r>
    </w:p>
    <w:bookmarkEnd w:id="23"/>
    <w:bookmarkStart w:id="24" w:name="base-case"/>
    <w:p>
      <w:pPr>
        <w:pStyle w:val="Heading3"/>
      </w:pPr>
      <w:r>
        <w:t xml:space="preserve">Base case</w:t>
      </w:r>
    </w:p>
    <w:p>
      <w:pPr>
        <w:pStyle w:val="Compact"/>
        <w:numPr>
          <w:ilvl w:val="0"/>
          <w:numId w:val="1010"/>
        </w:numPr>
      </w:pPr>
      <w:r>
        <w:t xml:space="preserve">Revenue around $925 million.</w:t>
      </w:r>
    </w:p>
    <w:p>
      <w:pPr>
        <w:pStyle w:val="Compact"/>
        <w:numPr>
          <w:ilvl w:val="0"/>
          <w:numId w:val="1010"/>
        </w:numPr>
      </w:pPr>
      <w:r>
        <w:t xml:space="preserve">Adjusted EPS near $1.03.</w:t>
      </w:r>
    </w:p>
    <w:p>
      <w:pPr>
        <w:pStyle w:val="Compact"/>
        <w:numPr>
          <w:ilvl w:val="0"/>
          <w:numId w:val="1010"/>
        </w:numPr>
      </w:pPr>
      <w:r>
        <w:t xml:space="preserve">Gross margin near 45%.</w:t>
      </w:r>
    </w:p>
    <w:p>
      <w:pPr>
        <w:pStyle w:val="Compact"/>
        <w:numPr>
          <w:ilvl w:val="0"/>
          <w:numId w:val="1010"/>
        </w:numPr>
      </w:pPr>
      <w:r>
        <w:t xml:space="preserve">Broad Markets grows high single digits.</w:t>
      </w:r>
    </w:p>
    <w:p>
      <w:pPr>
        <w:pStyle w:val="Compact"/>
        <w:numPr>
          <w:ilvl w:val="0"/>
          <w:numId w:val="1010"/>
        </w:numPr>
      </w:pPr>
      <w:r>
        <w:t xml:space="preserve">September guidance reflects normal seasonality but offers little upside.</w:t>
      </w:r>
    </w:p>
    <w:p>
      <w:pPr>
        <w:pStyle w:val="Compact"/>
        <w:numPr>
          <w:ilvl w:val="0"/>
          <w:numId w:val="1010"/>
        </w:numPr>
      </w:pPr>
      <w:r>
        <w:t xml:space="preserve">Merger closing remains targeted for late 2026 or early 2027.</w:t>
      </w:r>
    </w:p>
    <w:bookmarkEnd w:id="24"/>
    <w:bookmarkStart w:id="25" w:name="bear-case"/>
    <w:p>
      <w:pPr>
        <w:pStyle w:val="Heading3"/>
      </w:pPr>
      <w:r>
        <w:t xml:space="preserve">Bear case</w:t>
      </w:r>
    </w:p>
    <w:p>
      <w:pPr>
        <w:pStyle w:val="Compact"/>
        <w:numPr>
          <w:ilvl w:val="0"/>
          <w:numId w:val="1011"/>
        </w:numPr>
      </w:pPr>
      <w:r>
        <w:t xml:space="preserve">Revenue falls toward or below $900 million.</w:t>
      </w:r>
    </w:p>
    <w:p>
      <w:pPr>
        <w:pStyle w:val="Compact"/>
        <w:numPr>
          <w:ilvl w:val="0"/>
          <w:numId w:val="1011"/>
        </w:numPr>
      </w:pPr>
      <w:r>
        <w:t xml:space="preserve">Broad Markets slows materially.</w:t>
      </w:r>
    </w:p>
    <w:p>
      <w:pPr>
        <w:pStyle w:val="Compact"/>
        <w:numPr>
          <w:ilvl w:val="0"/>
          <w:numId w:val="1011"/>
        </w:numPr>
      </w:pPr>
      <w:r>
        <w:t xml:space="preserve">Gross margin drops below the guided range.</w:t>
      </w:r>
    </w:p>
    <w:p>
      <w:pPr>
        <w:pStyle w:val="Compact"/>
        <w:numPr>
          <w:ilvl w:val="0"/>
          <w:numId w:val="1011"/>
        </w:numPr>
      </w:pPr>
      <w:r>
        <w:t xml:space="preserve">Inventory rises without a strong seasonal revenue outlook.</w:t>
      </w:r>
    </w:p>
    <w:p>
      <w:pPr>
        <w:pStyle w:val="Compact"/>
        <w:numPr>
          <w:ilvl w:val="0"/>
          <w:numId w:val="1011"/>
        </w:numPr>
      </w:pPr>
      <w:r>
        <w:t xml:space="preserve">Management signals weaker customer forecasts or unfavorable content.</w:t>
      </w:r>
    </w:p>
    <w:p>
      <w:pPr>
        <w:pStyle w:val="Compact"/>
        <w:numPr>
          <w:ilvl w:val="0"/>
          <w:numId w:val="1011"/>
        </w:numPr>
      </w:pPr>
      <w:r>
        <w:t xml:space="preserve">The Qorvo regulatory timetable slips or remedies threaten projected synergies.</w:t>
      </w:r>
    </w:p>
    <w:bookmarkEnd w:id="25"/>
    <w:bookmarkEnd w:id="26"/>
    <w:bookmarkStart w:id="27" w:name="bottom-line"/>
    <w:p>
      <w:pPr>
        <w:pStyle w:val="Heading2"/>
      </w:pPr>
      <w:r>
        <w:t xml:space="preserve">Bottom line</w:t>
      </w:r>
    </w:p>
    <w:p>
      <w:pPr>
        <w:pStyle w:val="FirstParagraph"/>
      </w:pPr>
      <w:r>
        <w:t xml:space="preserve">The June-quarter hurdle is manageable, with expectations clustered around management’s midpoint.</w:t>
      </w:r>
      <w:r>
        <w:t xml:space="preserve"> </w:t>
      </w:r>
      <w:r>
        <w:rPr>
          <w:b/>
          <w:bCs/>
        </w:rPr>
        <w:t xml:space="preserve">The stock’s real earnings reaction should be driven by the September-quarter guide, mobile content commentary and gross-margin trajectory.</w:t>
      </w:r>
    </w:p>
    <w:p>
      <w:pPr>
        <w:pStyle w:val="BodyText"/>
      </w:pPr>
      <w:r>
        <w:t xml:space="preserve">The cleanest positive setup would be an in-line or modestly better fiscal Q3 combined with a strong seasonal outlook, sustained Broad Markets growth and stable margins. The biggest risk is that an apparently healthy June quarter masks weaker second-half customer forecasts or an inventory build that is not supported by demand.</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skyworksinc.com/events-presentations?utm_source=openai" TargetMode="External" /><Relationship Type="http://schemas.openxmlformats.org/officeDocument/2006/relationships/hyperlink" Id="rId21" Target="https://investors.skyworksinc.com/news-releases/news-release-details/skyworks-commences-exchange-offers-and-consent-solicitations?utm_source=openai" TargetMode="External" /><Relationship Type="http://schemas.openxmlformats.org/officeDocument/2006/relationships/hyperlink" Id="rId14" Target="https://investors.skyworksinc.com/news-releases/news-release-details/skyworks-delivers-strong-second-quarter-fiscal-year-2026-results?utm_source=openai" TargetMode="External" /><Relationship Type="http://schemas.openxmlformats.org/officeDocument/2006/relationships/hyperlink" Id="rId20" Target="https://www.ftc.gov.tw/internet/enterprise/doc/docDetail.aspx?docid=18432&amp;uid=126" TargetMode="External" /><Relationship Type="http://schemas.openxmlformats.org/officeDocument/2006/relationships/hyperlink" Id="rId18" Target="https://www.sec.gov/Archives/edgar/data/4127/000000412726000015/swks-20260403.htm?utm_source=openai" TargetMode="External" /><Relationship Type="http://schemas.openxmlformats.org/officeDocument/2006/relationships/hyperlink" Id="rId11" Target="https://www.skyworksinc.com/-/media/SkyWorks/Documents/Press-Releases/FY26Q2-Earnings-Call-Prepared-Remarks.pdf"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skyworksinc.com/events-presentations?utm_source=openai" TargetMode="External" /><Relationship Type="http://schemas.openxmlformats.org/officeDocument/2006/relationships/hyperlink" Id="rId21" Target="https://investors.skyworksinc.com/news-releases/news-release-details/skyworks-commences-exchange-offers-and-consent-solicitations?utm_source=openai" TargetMode="External" /><Relationship Type="http://schemas.openxmlformats.org/officeDocument/2006/relationships/hyperlink" Id="rId14" Target="https://investors.skyworksinc.com/news-releases/news-release-details/skyworks-delivers-strong-second-quarter-fiscal-year-2026-results?utm_source=openai" TargetMode="External" /><Relationship Type="http://schemas.openxmlformats.org/officeDocument/2006/relationships/hyperlink" Id="rId20" Target="https://www.ftc.gov.tw/internet/enterprise/doc/docDetail.aspx?docid=18432&amp;uid=126" TargetMode="External" /><Relationship Type="http://schemas.openxmlformats.org/officeDocument/2006/relationships/hyperlink" Id="rId18" Target="https://www.sec.gov/Archives/edgar/data/4127/000000412726000015/swks-20260403.htm?utm_source=openai" TargetMode="External" /><Relationship Type="http://schemas.openxmlformats.org/officeDocument/2006/relationships/hyperlink" Id="rId11" Target="https://www.skyworksinc.com/-/media/SkyWorks/Documents/Press-Releases/FY26Q2-Earnings-Call-Prepared-Remark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2026-07-28T01:07:56Z</dcterms:created>
  <dcterms:modified xsi:type="dcterms:W3CDTF">2026-07-28T01:07:56Z</dcterms:modified>
</cp:coreProperties>
</file>

<file path=docProps/custom.xml><?xml version="1.0" encoding="utf-8"?>
<Properties xmlns="http://schemas.openxmlformats.org/officeDocument/2006/custom-properties" xmlns:vt="http://schemas.openxmlformats.org/officeDocument/2006/docPropsVTypes"/>
</file>