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b7af2d860f91e3d157cd1e6ba4f222735db9a9"/>
    <w:p>
      <w:pPr>
        <w:pStyle w:val="Heading1"/>
      </w:pPr>
      <w:r>
        <w:t xml:space="preserve">Skyworks Solutions (SWKS) — FY26 Q3 Earnings Preview</w:t>
      </w:r>
    </w:p>
    <w:p>
      <w:pPr>
        <w:pStyle w:val="FirstParagraph"/>
      </w:pPr>
      <w:r>
        <w:rPr>
          <w:b/>
          <w:bCs/>
        </w:rPr>
        <w:t xml:space="preserve">Event:</w:t>
      </w:r>
      <w:r>
        <w:t xml:space="preserve"> </w:t>
      </w:r>
      <w:r>
        <w:t xml:space="preserve">Fiscal 2026 third-quarter earnings call, scheduled for</w:t>
      </w:r>
      <w:r>
        <w:t xml:space="preserve"> </w:t>
      </w:r>
      <w:r>
        <w:rPr>
          <w:b/>
          <w:bCs/>
        </w:rPr>
        <w:t xml:space="preserve">Wednesday, July 29, 2026</w:t>
      </w:r>
      <w:r>
        <w:t xml:space="preserve">.</w:t>
      </w:r>
      <w:r>
        <w:br/>
      </w:r>
      <w:r>
        <w:rPr>
          <w:b/>
          <w:bCs/>
        </w:rPr>
        <w:t xml:space="preserve">Core setup:</w:t>
      </w:r>
      <w:r>
        <w:t xml:space="preserve"> </w:t>
      </w:r>
      <w:r>
        <w:t xml:space="preserve">Skyworks enters the report with a relatively conservative June-quarter guide, a still-strong but highly concentrated mobile franchise, improving Broad Markets momentum, and a pending Qorvo acquisition that is likely to remain the dominant strategic catalyst—and risk—behind the shares.</w:t>
      </w:r>
    </w:p>
    <w:bookmarkStart w:id="9" w:name="the-short-version"/>
    <w:p>
      <w:pPr>
        <w:pStyle w:val="Heading2"/>
      </w:pPr>
      <w:r>
        <w:t xml:space="preserve">The short version</w:t>
      </w:r>
    </w:p>
    <w:p>
      <w:pPr>
        <w:pStyle w:val="FirstParagraph"/>
      </w:pPr>
      <w:r>
        <w:t xml:space="preserve">The near-term question is not simply whether SWKS beats its June-quarter guide. Management already framed Q3 as a seasonally softer mobile quarter: revenue guidance was</w:t>
      </w:r>
      <w:r>
        <w:t xml:space="preserve"> </w:t>
      </w:r>
      <m:oMath>
        <m:r>
          <m:t>900</m:t>
        </m:r>
        <m:r>
          <m:rPr>
            <m:sty m:val="p"/>
          </m:rPr>
          <m:t>–</m:t>
        </m:r>
      </m:oMath>
      <w:r>
        <w:rPr>
          <w:b/>
          <w:bCs/>
        </w:rPr>
        <w:t xml:space="preserve">950 million</w:t>
      </w:r>
      <w:r>
        <w:t xml:space="preserve"> </w:t>
      </w:r>
      <w:r>
        <w:t xml:space="preserve">and non-GAAP EPS guidance was</w:t>
      </w:r>
      <w:r>
        <w:t xml:space="preserve"> </w:t>
      </w:r>
      <w:r>
        <w:rPr>
          <w:b/>
          <w:bCs/>
        </w:rPr>
        <w:t xml:space="preserve">$1.03</w:t>
      </w:r>
      <w:r>
        <w:t xml:space="preserve"> </w:t>
      </w:r>
      <w:r>
        <w:t xml:space="preserve">at the $925 million midpoint.</w:t>
      </w:r>
    </w:p>
    <w:p>
      <w:pPr>
        <w:pStyle w:val="BodyText"/>
      </w:pPr>
      <w:r>
        <w:t xml:space="preserve">Instead, investors should focus on whether Skyworks can validate three forward-looking claims from its May call:</w:t>
      </w:r>
    </w:p>
    <w:p>
      <w:pPr>
        <w:pStyle w:val="Compact"/>
        <w:numPr>
          <w:ilvl w:val="0"/>
          <w:numId w:val="1001"/>
        </w:numPr>
      </w:pPr>
      <w:r>
        <w:rPr>
          <w:b/>
          <w:bCs/>
        </w:rPr>
        <w:t xml:space="preserve">Normal second-half handset seasonality</w:t>
      </w:r>
      <w:r>
        <w:t xml:space="preserve"> </w:t>
      </w:r>
      <w:r>
        <w:t xml:space="preserve">remains intact despite industry concerns around memory availability and handset demand.</w:t>
      </w:r>
    </w:p>
    <w:p>
      <w:pPr>
        <w:pStyle w:val="Compact"/>
        <w:numPr>
          <w:ilvl w:val="0"/>
          <w:numId w:val="1001"/>
        </w:numPr>
      </w:pPr>
      <w:r>
        <w:rPr>
          <w:b/>
          <w:bCs/>
        </w:rPr>
        <w:t xml:space="preserve">Broad Markets is continuing to compound</w:t>
      </w:r>
      <w:r>
        <w:t xml:space="preserve">, led by Wi‑Fi, automotive, and AI/data-center timing and power products.</w:t>
      </w:r>
    </w:p>
    <w:p>
      <w:pPr>
        <w:pStyle w:val="Compact"/>
        <w:numPr>
          <w:ilvl w:val="0"/>
          <w:numId w:val="1001"/>
        </w:numPr>
      </w:pPr>
      <w:r>
        <w:rPr>
          <w:b/>
          <w:bCs/>
        </w:rPr>
        <w:t xml:space="preserve">Gross margin can hold near 45% despite input-cost pressure</w:t>
      </w:r>
      <w:r>
        <w:t xml:space="preserve">, creating a credible path to longer-term improvement through factory optimization, better utilization, and mix.</w:t>
      </w:r>
    </w:p>
    <w:p>
      <w:pPr>
        <w:pStyle w:val="FirstParagraph"/>
      </w:pPr>
      <w:r>
        <w:t xml:space="preserve">The stock has already reflected meaningful skepticism. From the May 5 earnings date through July 27, SWKS declined roughly</w:t>
      </w:r>
      <w:r>
        <w:t xml:space="preserve"> </w:t>
      </w:r>
      <w:r>
        <w:rPr>
          <w:b/>
          <w:bCs/>
        </w:rPr>
        <w:t xml:space="preserve">12.5%</w:t>
      </w:r>
      <w:r>
        <w:t xml:space="preserve">, while SOXX rose about</w:t>
      </w:r>
      <w:r>
        <w:t xml:space="preserve"> </w:t>
      </w:r>
      <w:r>
        <w:rPr>
          <w:b/>
          <w:bCs/>
        </w:rPr>
        <w:t xml:space="preserve">6.9%</w:t>
      </w:r>
      <w:r>
        <w:t xml:space="preserve">—a roughly 19-point relative underperformance. That makes an in-line Q3 paired with convincing September-quarter commentary potentially more important than the headline June-quarter beat.</w:t>
      </w:r>
    </w:p>
    <w:p>
      <w:r>
        <w:pict>
          <v:rect style="width:0;height:1.5pt" o:hralign="center" o:hrstd="t" o:hr="t"/>
        </w:pict>
      </w:r>
    </w:p>
    <w:bookmarkEnd w:id="9"/>
    <w:bookmarkStart w:id="10" w:name="what-skyworks-guided-for"/>
    <w:p>
      <w:pPr>
        <w:pStyle w:val="Heading2"/>
      </w:pPr>
      <w:r>
        <w:t xml:space="preserve">What Skyworks guided for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FY26 Q3 guide</w:t>
            </w:r>
          </w:p>
        </w:tc>
        <w:tc>
          <w:tcPr/>
          <w:p>
            <w:pPr>
              <w:pStyle w:val="Compact"/>
            </w:pPr>
            <w:r>
              <w:t xml:space="preserve">Key implication</w:t>
            </w:r>
          </w:p>
        </w:tc>
      </w:tr>
      <w:tr>
        <w:tc>
          <w:tcPr/>
          <w:p>
            <w:pPr>
              <w:pStyle w:val="Compact"/>
            </w:pPr>
            <w:r>
              <w:t xml:space="preserve">Revenue</w:t>
            </w:r>
          </w:p>
        </w:tc>
        <w:tc>
          <w:tcPr/>
          <w:p>
            <w:pPr>
              <w:pStyle w:val="Compact"/>
              <w:jc w:val="right"/>
            </w:pPr>
            <m:oMath>
              <m:r>
                <m:t>900</m:t>
              </m:r>
              <m:r>
                <m:t>M</m:t>
              </m:r>
              <m:r>
                <m:rPr>
                  <m:sty m:val="p"/>
                </m:rPr>
                <m:t>–</m:t>
              </m:r>
            </m:oMath>
            <w:r>
              <w:rPr>
                <w:b/>
                <w:bCs/>
              </w:rPr>
              <w:t xml:space="preserve">950M</w:t>
            </w:r>
          </w:p>
        </w:tc>
        <w:tc>
          <w:tcPr/>
          <w:p>
            <w:pPr>
              <w:pStyle w:val="Compact"/>
            </w:pPr>
            <w:r>
              <w:rPr>
                <w:b/>
                <w:bCs/>
              </w:rPr>
              <w:t xml:space="preserve">$925M midpoint</w:t>
            </w:r>
            <w:r>
              <w:t xml:space="preserve">, down ~2% sequentially from Q2</w:t>
            </w:r>
          </w:p>
        </w:tc>
      </w:tr>
      <w:tr>
        <w:tc>
          <w:tcPr/>
          <w:p>
            <w:pPr>
              <w:pStyle w:val="Compact"/>
            </w:pPr>
            <w:r>
              <w:t xml:space="preserve">Non-GAAP diluted EPS</w:t>
            </w:r>
          </w:p>
        </w:tc>
        <w:tc>
          <w:tcPr/>
          <w:p>
            <w:pPr>
              <w:pStyle w:val="Compact"/>
              <w:jc w:val="right"/>
            </w:pPr>
            <w:r>
              <w:rPr>
                <w:b/>
                <w:bCs/>
              </w:rPr>
              <w:t xml:space="preserve">$1.03</w:t>
            </w:r>
          </w:p>
        </w:tc>
        <w:tc>
          <w:tcPr/>
          <w:p>
            <w:pPr>
              <w:pStyle w:val="Compact"/>
            </w:pPr>
            <w:r>
              <w:t xml:space="preserve">Down from Q2’s $1.15, reflecting seasonal volume and cost pressure</w:t>
            </w:r>
          </w:p>
        </w:tc>
      </w:tr>
      <w:tr>
        <w:tc>
          <w:tcPr/>
          <w:p>
            <w:pPr>
              <w:pStyle w:val="Compact"/>
            </w:pPr>
            <w:r>
              <w:t xml:space="preserve">Mobile</w:t>
            </w:r>
          </w:p>
        </w:tc>
        <w:tc>
          <w:tcPr/>
          <w:p>
            <w:pPr>
              <w:pStyle w:val="Compact"/>
              <w:jc w:val="right"/>
            </w:pPr>
            <w:r>
              <w:t xml:space="preserve">Down low single digits sequentially</w:t>
            </w:r>
          </w:p>
        </w:tc>
        <w:tc>
          <w:tcPr/>
          <w:p>
            <w:pPr>
              <w:pStyle w:val="Compact"/>
            </w:pPr>
            <w:r>
              <w:t xml:space="preserve">Management characterized this as normal seasonality</w:t>
            </w:r>
          </w:p>
        </w:tc>
      </w:tr>
      <w:tr>
        <w:tc>
          <w:tcPr/>
          <w:p>
            <w:pPr>
              <w:pStyle w:val="Compact"/>
            </w:pPr>
            <w:r>
              <w:t xml:space="preserve">Broad Markets</w:t>
            </w:r>
          </w:p>
        </w:tc>
        <w:tc>
          <w:tcPr/>
          <w:p>
            <w:pPr>
              <w:pStyle w:val="Compact"/>
              <w:jc w:val="right"/>
            </w:pPr>
            <w:r>
              <w:t xml:space="preserve">Modestly up sequentially; high-single-digit YoY growth</w:t>
            </w:r>
          </w:p>
        </w:tc>
        <w:tc>
          <w:tcPr/>
          <w:p>
            <w:pPr>
              <w:pStyle w:val="Compact"/>
            </w:pPr>
            <w:r>
              <w:t xml:space="preserve">Expected to reach ~43% of sales</w:t>
            </w:r>
          </w:p>
        </w:tc>
      </w:tr>
      <w:tr>
        <w:tc>
          <w:tcPr/>
          <w:p>
            <w:pPr>
              <w:pStyle w:val="Compact"/>
            </w:pPr>
            <w:r>
              <w:t xml:space="preserve">Non-GAAP gross margin</w:t>
            </w:r>
          </w:p>
        </w:tc>
        <w:tc>
          <w:tcPr/>
          <w:p>
            <w:pPr>
              <w:pStyle w:val="Compact"/>
              <w:jc w:val="right"/>
            </w:pPr>
            <w:r>
              <w:rPr>
                <w:b/>
                <w:bCs/>
              </w:rPr>
              <w:t xml:space="preserve">44.5%–45.5%</w:t>
            </w:r>
          </w:p>
        </w:tc>
        <w:tc>
          <w:tcPr/>
          <w:p>
            <w:pPr>
              <w:pStyle w:val="Compact"/>
            </w:pPr>
            <w:r>
              <w:t xml:space="preserve">Flat sequentially despite higher input costs</w:t>
            </w:r>
          </w:p>
        </w:tc>
      </w:tr>
      <w:tr>
        <w:tc>
          <w:tcPr/>
          <w:p>
            <w:pPr>
              <w:pStyle w:val="Compact"/>
            </w:pPr>
            <w:r>
              <w:t xml:space="preserve">Operating expenses</w:t>
            </w:r>
          </w:p>
        </w:tc>
        <w:tc>
          <w:tcPr/>
          <w:p>
            <w:pPr>
              <w:pStyle w:val="Compact"/>
              <w:jc w:val="right"/>
            </w:pPr>
            <m:oMath>
              <m:r>
                <m:t>235</m:t>
              </m:r>
              <m:r>
                <m:t>M</m:t>
              </m:r>
              <m:r>
                <m:rPr>
                  <m:sty m:val="p"/>
                </m:rPr>
                <m:t>–</m:t>
              </m:r>
            </m:oMath>
            <w:r>
              <w:rPr>
                <w:b/>
                <w:bCs/>
              </w:rPr>
              <w:t xml:space="preserve">245M</w:t>
            </w:r>
          </w:p>
        </w:tc>
        <w:tc>
          <w:tcPr/>
          <w:p>
            <w:pPr>
              <w:pStyle w:val="Compact"/>
            </w:pPr>
            <w:r>
              <w:t xml:space="preserve">Continued R&amp;D investment, but disciplined discretionary spending</w:t>
            </w:r>
          </w:p>
        </w:tc>
      </w:tr>
      <w:tr>
        <w:tc>
          <w:tcPr/>
          <w:p>
            <w:pPr>
              <w:pStyle w:val="Compact"/>
            </w:pPr>
            <w:r>
              <w:t xml:space="preserve">Tax rate</w:t>
            </w:r>
          </w:p>
        </w:tc>
        <w:tc>
          <w:tcPr/>
          <w:p>
            <w:pPr>
              <w:pStyle w:val="Compact"/>
              <w:jc w:val="right"/>
            </w:pPr>
            <w:r>
              <w:t xml:space="preserve">~10%</w:t>
            </w:r>
          </w:p>
        </w:tc>
        <w:tc>
          <w:tcPr/>
          <w:p>
            <w:pPr>
              <w:pStyle w:val="Compact"/>
            </w:pPr>
          </w:p>
        </w:tc>
      </w:tr>
      <w:tr>
        <w:tc>
          <w:tcPr/>
          <w:p>
            <w:pPr>
              <w:pStyle w:val="Compact"/>
            </w:pPr>
            <w:r>
              <w:t xml:space="preserve">Diluted shares</w:t>
            </w:r>
          </w:p>
        </w:tc>
        <w:tc>
          <w:tcPr/>
          <w:p>
            <w:pPr>
              <w:pStyle w:val="Compact"/>
              <w:jc w:val="right"/>
            </w:pPr>
            <w:r>
              <w:t xml:space="preserve">~151M</w:t>
            </w:r>
          </w:p>
        </w:tc>
        <w:tc>
          <w:tcPr/>
          <w:p>
            <w:pPr>
              <w:pStyle w:val="Compact"/>
            </w:pPr>
          </w:p>
        </w:tc>
      </w:tr>
    </w:tbl>
    <w:p>
      <w:pPr>
        <w:pStyle w:val="BodyText"/>
      </w:pPr>
      <w:r>
        <w:t xml:space="preserve">At the midpoint, the revenue outlook implies roughly</w:t>
      </w:r>
      <w:r>
        <w:t xml:space="preserve"> </w:t>
      </w:r>
      <w:r>
        <w:rPr>
          <w:b/>
          <w:bCs/>
        </w:rPr>
        <w:t xml:space="preserve">4% year-over-year decline</w:t>
      </w:r>
      <w:r>
        <w:t xml:space="preserve"> </w:t>
      </w:r>
      <w:r>
        <w:t xml:space="preserve">versus FY25 Q3 revenue of $965 million, while guided non-GAAP EPS of $1.03 is about</w:t>
      </w:r>
      <w:r>
        <w:t xml:space="preserve"> </w:t>
      </w:r>
      <w:r>
        <w:rPr>
          <w:b/>
          <w:bCs/>
        </w:rPr>
        <w:t xml:space="preserve">23% below</w:t>
      </w:r>
      <w:r>
        <w:t xml:space="preserve"> </w:t>
      </w:r>
      <w:r>
        <w:t xml:space="preserve">the $1.33 earned a year ago. The comparison is not necessarily alarming—FY25 benefited from a stronger handset backdrop and higher gross margin—but it raises the importance of the September outlook.</w:t>
      </w:r>
    </w:p>
    <w:bookmarkEnd w:id="10"/>
    <w:bookmarkStart w:id="14" w:name="why-the-quarter-matters"/>
    <w:p>
      <w:pPr>
        <w:pStyle w:val="Heading2"/>
      </w:pPr>
      <w:r>
        <w:t xml:space="preserve">Why the quarter matters</w:t>
      </w:r>
    </w:p>
    <w:bookmarkStart w:id="11" w:name="X08f6c57ef213ce34d88c86d8fc64df5cdd6d9b0"/>
    <w:p>
      <w:pPr>
        <w:pStyle w:val="Heading3"/>
      </w:pPr>
      <w:r>
        <w:t xml:space="preserve">1. September-quarter seasonality is the real swing factor</w:t>
      </w:r>
    </w:p>
    <w:p>
      <w:pPr>
        <w:pStyle w:val="FirstParagraph"/>
      </w:pPr>
      <w:r>
        <w:t xml:space="preserve">Management said on the Q2 call that book-to-bill remained above one, inventories were lean, and it saw no evidence that the second half would be anything other than normally seasonal. That is the central operating claim to test.</w:t>
      </w:r>
    </w:p>
    <w:p>
      <w:pPr>
        <w:pStyle w:val="BodyText"/>
      </w:pPr>
      <w:r>
        <w:t xml:space="preserve">Skyworks’ largest customer represented about</w:t>
      </w:r>
      <w:r>
        <w:t xml:space="preserve"> </w:t>
      </w:r>
      <w:r>
        <w:rPr>
          <w:b/>
          <w:bCs/>
        </w:rPr>
        <w:t xml:space="preserve">60% of Q2 revenue</w:t>
      </w:r>
      <w:r>
        <w:t xml:space="preserve">, so handset build expectations and model mix at that customer will likely dominate the near-term earnings reaction. Investors will be listening for:</w:t>
      </w:r>
    </w:p>
    <w:p>
      <w:pPr>
        <w:pStyle w:val="Compact"/>
        <w:numPr>
          <w:ilvl w:val="0"/>
          <w:numId w:val="1002"/>
        </w:numPr>
      </w:pPr>
      <w:r>
        <w:t xml:space="preserve">Confirmation of a typical September-quarter ramp;</w:t>
      </w:r>
    </w:p>
    <w:p>
      <w:pPr>
        <w:pStyle w:val="Compact"/>
        <w:numPr>
          <w:ilvl w:val="0"/>
          <w:numId w:val="1002"/>
        </w:numPr>
      </w:pPr>
      <w:r>
        <w:t xml:space="preserve">Any change in commentary around RF content at the largest customer;</w:t>
      </w:r>
    </w:p>
    <w:p>
      <w:pPr>
        <w:pStyle w:val="Compact"/>
        <w:numPr>
          <w:ilvl w:val="0"/>
          <w:numId w:val="1002"/>
        </w:numPr>
      </w:pPr>
      <w:r>
        <w:t xml:space="preserve">Evidence that customer order patterns remain stable rather than front-loaded;</w:t>
      </w:r>
    </w:p>
    <w:p>
      <w:pPr>
        <w:pStyle w:val="Compact"/>
        <w:numPr>
          <w:ilvl w:val="0"/>
          <w:numId w:val="1002"/>
        </w:numPr>
      </w:pPr>
      <w:r>
        <w:t xml:space="preserve">Whether memory shortages, pricing, or component constraints are beginning to affect smartphone builds.</w:t>
      </w:r>
    </w:p>
    <w:p>
      <w:pPr>
        <w:pStyle w:val="FirstParagraph"/>
      </w:pPr>
      <w:r>
        <w:t xml:space="preserve">Management previously said it had not seen an effect from memory-market disruption, citing lean channel inventory and its premium, high-complexity product exposure. A change in that language would matter.</w:t>
      </w:r>
    </w:p>
    <w:bookmarkEnd w:id="11"/>
    <w:bookmarkStart w:id="12" w:name="X5481bfc63b2b1d5e28380ce42e119ab8a3f48fd"/>
    <w:p>
      <w:pPr>
        <w:pStyle w:val="Heading3"/>
      </w:pPr>
      <w:r>
        <w:t xml:space="preserve">2. Broad Markets needs to remain the offset</w:t>
      </w:r>
    </w:p>
    <w:p>
      <w:pPr>
        <w:pStyle w:val="FirstParagraph"/>
      </w:pPr>
      <w:r>
        <w:t xml:space="preserve">Broad Markets was</w:t>
      </w:r>
      <w:r>
        <w:t xml:space="preserve"> </w:t>
      </w:r>
      <w:r>
        <w:rPr>
          <w:b/>
          <w:bCs/>
        </w:rPr>
        <w:t xml:space="preserve">42% of Q2 revenue</w:t>
      </w:r>
      <w:r>
        <w:t xml:space="preserve"> </w:t>
      </w:r>
      <w:r>
        <w:t xml:space="preserve">and grew 10% year over year. Management highlighted nine consecutive quarters of growth, with Wi‑Fi, data center, and automotive comprising nearly two-thirds of the segment and collectively growing about 30% year over year.</w:t>
      </w:r>
    </w:p>
    <w:p>
      <w:pPr>
        <w:pStyle w:val="BodyText"/>
      </w:pPr>
      <w:r>
        <w:t xml:space="preserve">For Q3, management forecast Broad Markets at roughly</w:t>
      </w:r>
      <w:r>
        <w:t xml:space="preserve"> </w:t>
      </w:r>
      <w:r>
        <w:rPr>
          <w:b/>
          <w:bCs/>
        </w:rPr>
        <w:t xml:space="preserve">43% of sales</w:t>
      </w:r>
      <w:r>
        <w:t xml:space="preserve"> </w:t>
      </w:r>
      <w:r>
        <w:t xml:space="preserve">and up high single digits year over year. The key subsegments are:</w:t>
      </w:r>
    </w:p>
    <w:p>
      <w:pPr>
        <w:pStyle w:val="Compact"/>
        <w:numPr>
          <w:ilvl w:val="0"/>
          <w:numId w:val="1003"/>
        </w:numPr>
      </w:pPr>
      <w:r>
        <w:rPr>
          <w:b/>
          <w:bCs/>
        </w:rPr>
        <w:t xml:space="preserve">Wi‑Fi:</w:t>
      </w:r>
      <w:r>
        <w:t xml:space="preserve"> </w:t>
      </w:r>
      <w:r>
        <w:t xml:space="preserve">Wi‑Fi 7 adoption and early Wi‑Fi 8 engagement;</w:t>
      </w:r>
    </w:p>
    <w:p>
      <w:pPr>
        <w:pStyle w:val="Compact"/>
        <w:numPr>
          <w:ilvl w:val="0"/>
          <w:numId w:val="1003"/>
        </w:numPr>
      </w:pPr>
      <w:r>
        <w:rPr>
          <w:b/>
          <w:bCs/>
        </w:rPr>
        <w:t xml:space="preserve">Automotive:</w:t>
      </w:r>
      <w:r>
        <w:t xml:space="preserve"> </w:t>
      </w:r>
      <w:r>
        <w:t xml:space="preserve">5G telematics, infotainment, power, and connectivity;</w:t>
      </w:r>
    </w:p>
    <w:p>
      <w:pPr>
        <w:pStyle w:val="Compact"/>
        <w:numPr>
          <w:ilvl w:val="0"/>
          <w:numId w:val="1003"/>
        </w:numPr>
      </w:pPr>
      <w:r>
        <w:rPr>
          <w:b/>
          <w:bCs/>
        </w:rPr>
        <w:t xml:space="preserve">Data center:</w:t>
      </w:r>
      <w:r>
        <w:t xml:space="preserve"> </w:t>
      </w:r>
      <w:r>
        <w:t xml:space="preserve">Precision timing and power-delivery opportunities associated with 800G/1.6T switching and 400V/800V architectures.</w:t>
      </w:r>
    </w:p>
    <w:p>
      <w:pPr>
        <w:pStyle w:val="FirstParagraph"/>
      </w:pPr>
      <w:r>
        <w:t xml:space="preserve">The diversification narrative is becoming more credible, but it is still not large enough to fully neutralize mobile volatility. Data center remains below $100 million annually, while automotive was discussed as roughly $250 million annually. Sustained growth in these businesses is therefore strategically important, but mobile remains the earnings driver.</w:t>
      </w:r>
    </w:p>
    <w:bookmarkEnd w:id="12"/>
    <w:bookmarkStart w:id="13" w:name="X1e69d475c811a4850979e75fff7cdbc017150f6"/>
    <w:p>
      <w:pPr>
        <w:pStyle w:val="Heading3"/>
      </w:pPr>
      <w:r>
        <w:t xml:space="preserve">3. Gross-margin resilience is a key quality-of-results test</w:t>
      </w:r>
    </w:p>
    <w:p>
      <w:pPr>
        <w:pStyle w:val="FirstParagraph"/>
      </w:pPr>
      <w:r>
        <w:t xml:space="preserve">Skyworks guided Q3 non-GAAP gross margin to</w:t>
      </w:r>
      <w:r>
        <w:t xml:space="preserve"> </w:t>
      </w:r>
      <w:r>
        <w:rPr>
          <w:b/>
          <w:bCs/>
        </w:rPr>
        <w:t xml:space="preserve">44.5%–45.5%</w:t>
      </w:r>
      <w:r>
        <w:t xml:space="preserve">, flat sequentially despite lower seasonal volume and increased costs for inputs, expediting, and gold. Management has pointed to targeted pricing actions, fab optimization, utilization improvement, and a richer Broad Markets mix as offsets.</w:t>
      </w:r>
    </w:p>
    <w:p>
      <w:pPr>
        <w:pStyle w:val="BodyText"/>
      </w:pPr>
      <w:r>
        <w:t xml:space="preserve">The margin debate is important because Q2’s 45% non-GAAP gross margin was already below the 47.1% achieved in FY25 Q3. A result at or above the top end of the guided range—especially alongside constructive September guidance—would support management’s longer-term goal of returning to structurally higher margins. A miss would make the promised manufacturing and mix benefits look more distant.</w:t>
      </w:r>
    </w:p>
    <w:p>
      <w:r>
        <w:pict>
          <v:rect style="width:0;height:1.5pt" o:hralign="center" o:hrstd="t" o:hr="t"/>
        </w:pict>
      </w:r>
    </w:p>
    <w:bookmarkEnd w:id="13"/>
    <w:bookmarkEnd w:id="14"/>
    <w:bookmarkStart w:id="15" w:name="Xceda4c4a9dc2f9b531025900e4a451fe9e9cb1e"/>
    <w:p>
      <w:pPr>
        <w:pStyle w:val="Heading2"/>
      </w:pPr>
      <w:r>
        <w:t xml:space="preserve">Balance sheet and cash flow: solid today, but merger financing changes the frame</w:t>
      </w:r>
    </w:p>
    <w:p>
      <w:pPr>
        <w:pStyle w:val="FirstParagraph"/>
      </w:pPr>
      <w:r>
        <w:t xml:space="preserve">At the end of Q2, Skyworks had about</w:t>
      </w:r>
      <w:r>
        <w:t xml:space="preserve"> </w:t>
      </w:r>
      <m:oMath>
        <m:r>
          <m:t>1.4</m:t>
        </m:r>
        <m:r>
          <m:t>b</m:t>
        </m:r>
        <m:r>
          <m:t>i</m:t>
        </m:r>
        <m:r>
          <m:t>l</m:t>
        </m:r>
        <m:r>
          <m:t>l</m:t>
        </m:r>
        <m:r>
          <m:t>i</m:t>
        </m:r>
        <m:r>
          <m:t>o</m:t>
        </m:r>
        <m:r>
          <m:t>n</m:t>
        </m:r>
        <m:r>
          <m:t>o</m:t>
        </m:r>
        <m:r>
          <m:t>f</m:t>
        </m:r>
        <m:r>
          <m:t>c</m:t>
        </m:r>
        <m:r>
          <m:t>a</m:t>
        </m:r>
        <m:r>
          <m:t>s</m:t>
        </m:r>
        <m:r>
          <m:t>h</m:t>
        </m:r>
        <m:r>
          <m:t>a</m:t>
        </m:r>
        <m:r>
          <m:t>n</m:t>
        </m:r>
        <m:r>
          <m:t>d</m:t>
        </m:r>
        <m:r>
          <m:t>i</m:t>
        </m:r>
        <m:r>
          <m:t>n</m:t>
        </m:r>
        <m:r>
          <m:t>v</m:t>
        </m:r>
        <m:r>
          <m:t>e</m:t>
        </m:r>
        <m:r>
          <m:t>s</m:t>
        </m:r>
        <m:r>
          <m:t>t</m:t>
        </m:r>
        <m:r>
          <m:t>m</m:t>
        </m:r>
        <m:r>
          <m:t>e</m:t>
        </m:r>
        <m:r>
          <m:t>n</m:t>
        </m:r>
        <m:r>
          <m:t>t</m:t>
        </m:r>
        <m:r>
          <m:t>s</m:t>
        </m:r>
        <m:r>
          <m:rPr>
            <m:sty m:val="p"/>
          </m:rPr>
          <m:t>*</m:t>
        </m:r>
        <m:r>
          <m:rPr>
            <m:sty m:val="p"/>
          </m:rPr>
          <m:t>*</m:t>
        </m:r>
        <m:r>
          <m:t>a</m:t>
        </m:r>
        <m:r>
          <m:t>n</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1.0 billion of debt</w:t>
      </w:r>
      <w:r>
        <w:t xml:space="preserve">. The company also carried $886 million of inventory, up from $755 million at the start of the fiscal year. That inventory build is understandable ahead of seasonal handset demand, but investors should watch whether it converts into revenue and operating cash flow in Q3 and Q4.</w:t>
      </w:r>
    </w:p>
    <w:p>
      <w:pPr>
        <w:pStyle w:val="BodyText"/>
      </w:pPr>
      <w:r>
        <w:t xml:space="preserve">The more consequential capital-structure issue is the pending Qorvo transaction. Skyworks has arranged bridge-financing commitments of up to</w:t>
      </w:r>
      <w:r>
        <w:t xml:space="preserve"> </w:t>
      </w:r>
      <m:oMath>
        <m:r>
          <m:t>1.5</m:t>
        </m:r>
        <m:r>
          <m:t>b</m:t>
        </m:r>
        <m:r>
          <m:t>i</m:t>
        </m:r>
        <m:r>
          <m:t>l</m:t>
        </m:r>
        <m:r>
          <m:t>l</m:t>
        </m:r>
        <m:r>
          <m:t>i</m:t>
        </m:r>
        <m:r>
          <m:t>o</m:t>
        </m:r>
        <m:r>
          <m:t>n</m:t>
        </m:r>
        <m:r>
          <m:rPr>
            <m:sty m:val="p"/>
          </m:rPr>
          <m:t>*</m:t>
        </m:r>
        <m:r>
          <m:rPr>
            <m:sty m:val="p"/>
          </m:rPr>
          <m:t>*</m:t>
        </m:r>
        <m:r>
          <m:t>f</m:t>
        </m:r>
        <m:r>
          <m:t>o</m:t>
        </m:r>
        <m:r>
          <m:t>r</m:t>
        </m:r>
        <m:r>
          <m:t>t</m:t>
        </m:r>
        <m:r>
          <m:t>h</m:t>
        </m:r>
        <m:r>
          <m:t>e</m:t>
        </m:r>
        <m:r>
          <m:t>c</m:t>
        </m:r>
        <m:r>
          <m:t>a</m:t>
        </m:r>
        <m:r>
          <m:t>s</m:t>
        </m:r>
        <m:r>
          <m:t>h</m:t>
        </m:r>
        <m:r>
          <m:t>c</m:t>
        </m:r>
        <m:r>
          <m:t>o</m:t>
        </m:r>
        <m:r>
          <m:t>m</m:t>
        </m:r>
        <m:r>
          <m:t>p</m:t>
        </m:r>
        <m:r>
          <m:t>o</m:t>
        </m:r>
        <m:r>
          <m:t>n</m:t>
        </m:r>
        <m:r>
          <m:t>e</m:t>
        </m:r>
        <m:r>
          <m:t>n</m:t>
        </m:r>
        <m:r>
          <m:t>t</m:t>
        </m:r>
        <m:r>
          <m:t>o</m:t>
        </m:r>
        <m:r>
          <m:t>f</m:t>
        </m:r>
        <m:r>
          <m:t>t</m:t>
        </m:r>
        <m:r>
          <m:t>h</m:t>
        </m:r>
        <m:r>
          <m:t>e</m:t>
        </m:r>
        <m:r>
          <m:t>d</m:t>
        </m:r>
        <m:r>
          <m:t>e</m:t>
        </m:r>
        <m:r>
          <m:t>a</m:t>
        </m:r>
        <m:r>
          <m:t>l</m:t>
        </m:r>
        <m:r>
          <m:t>a</m:t>
        </m:r>
        <m:r>
          <m:t>n</m:t>
        </m:r>
        <m:r>
          <m:t>d</m:t>
        </m:r>
        <m:r>
          <m:t>h</m:t>
        </m:r>
        <m:r>
          <m:t>a</m:t>
        </m:r>
        <m:r>
          <m:t>s</m:t>
        </m:r>
        <m:r>
          <m:t>b</m:t>
        </m:r>
        <m:r>
          <m:t>e</m:t>
        </m:r>
        <m:r>
          <m:t>e</m:t>
        </m:r>
        <m:r>
          <m:t>n</m:t>
        </m:r>
        <m:r>
          <m:t>w</m:t>
        </m:r>
        <m:r>
          <m:t>o</m:t>
        </m:r>
        <m:r>
          <m:t>r</m:t>
        </m:r>
        <m:r>
          <m:t>k</m:t>
        </m:r>
        <m:r>
          <m:t>i</m:t>
        </m:r>
        <m:r>
          <m:t>n</m:t>
        </m:r>
        <m:r>
          <m:t>g</m:t>
        </m:r>
        <m:r>
          <m:t>t</m:t>
        </m:r>
        <m:r>
          <m:t>h</m:t>
        </m:r>
        <m:r>
          <m:t>r</m:t>
        </m:r>
        <m:r>
          <m:t>o</m:t>
        </m:r>
        <m:r>
          <m:t>u</m:t>
        </m:r>
        <m:r>
          <m:t>g</m:t>
        </m:r>
        <m:r>
          <m:t>h</m:t>
        </m:r>
        <m:r>
          <m:t>e</m:t>
        </m:r>
        <m:r>
          <m:t>x</m:t>
        </m:r>
        <m:r>
          <m:t>c</m:t>
        </m:r>
        <m:r>
          <m:t>h</m:t>
        </m:r>
        <m:r>
          <m:t>a</m:t>
        </m:r>
        <m:r>
          <m:t>n</m:t>
        </m:r>
        <m:r>
          <m:t>g</m:t>
        </m:r>
        <m:r>
          <m:t>e</m:t>
        </m:r>
        <m:r>
          <m:t>o</m:t>
        </m:r>
        <m:r>
          <m:t>f</m:t>
        </m:r>
        <m:r>
          <m:t>f</m:t>
        </m:r>
        <m:r>
          <m:t>e</m:t>
        </m:r>
        <m:r>
          <m:t>r</m:t>
        </m:r>
        <m:r>
          <m:t>s</m:t>
        </m:r>
        <m:r>
          <m:t>r</m:t>
        </m:r>
        <m:r>
          <m:t>e</m:t>
        </m:r>
        <m:r>
          <m:t>l</m:t>
        </m:r>
        <m:r>
          <m:t>a</m:t>
        </m:r>
        <m:r>
          <m:t>t</m:t>
        </m:r>
        <m:r>
          <m:t>e</m:t>
        </m:r>
        <m:r>
          <m:t>d</m:t>
        </m:r>
        <m:r>
          <m:t>t</m:t>
        </m:r>
        <m:r>
          <m:t>o</m:t>
        </m:r>
        <m:r>
          <m:t>Q</m:t>
        </m:r>
        <m:r>
          <m:t>o</m:t>
        </m:r>
        <m:r>
          <m:t>r</m:t>
        </m:r>
        <m:r>
          <m:t>v</m:t>
        </m:r>
        <m:r>
          <m:t>o</m:t>
        </m:r>
        <m:r>
          <m:rPr>
            <m:sty m:val="p"/>
          </m:rPr>
          <m:t>’</m:t>
        </m:r>
        <m:r>
          <m:t>s</m:t>
        </m:r>
        <m:r>
          <m:t>n</m:t>
        </m:r>
        <m:r>
          <m:t>o</m:t>
        </m:r>
        <m:r>
          <m:t>t</m:t>
        </m:r>
        <m:r>
          <m:t>e</m:t>
        </m:r>
        <m:r>
          <m:t>s</m:t>
        </m:r>
        <m:r>
          <m:rPr>
            <m:sty m:val="p"/>
          </m:rPr>
          <m:t>.</m:t>
        </m:r>
        <m:r>
          <m:t>T</m:t>
        </m:r>
        <m:r>
          <m:t>h</m:t>
        </m:r>
        <m:r>
          <m:t>e</m:t>
        </m:r>
        <m:r>
          <m:t>t</m:t>
        </m:r>
        <m:r>
          <m:t>r</m:t>
        </m:r>
        <m:r>
          <m:t>a</m:t>
        </m:r>
        <m:r>
          <m:t>n</m:t>
        </m:r>
        <m:r>
          <m:t>s</m:t>
        </m:r>
        <m:r>
          <m:t>a</m:t>
        </m:r>
        <m:r>
          <m:t>c</m:t>
        </m:r>
        <m:r>
          <m:t>t</m:t>
        </m:r>
        <m:r>
          <m:t>i</m:t>
        </m:r>
        <m:r>
          <m:t>o</m:t>
        </m:r>
        <m:r>
          <m:t>n</m:t>
        </m:r>
        <m:r>
          <m:t>b</m:t>
        </m:r>
        <m:r>
          <m:t>r</m:t>
        </m:r>
        <m:r>
          <m:t>i</m:t>
        </m:r>
        <m:r>
          <m:t>n</m:t>
        </m:r>
        <m:r>
          <m:t>g</m:t>
        </m:r>
        <m:r>
          <m:t>s</m:t>
        </m:r>
        <m:r>
          <m:t>s</m:t>
        </m:r>
        <m:r>
          <m:t>u</m:t>
        </m:r>
        <m:r>
          <m:t>b</m:t>
        </m:r>
        <m:r>
          <m:t>s</m:t>
        </m:r>
        <m:r>
          <m:t>t</m:t>
        </m:r>
        <m:r>
          <m:t>a</m:t>
        </m:r>
        <m:r>
          <m:t>n</m:t>
        </m:r>
        <m:r>
          <m:t>t</m:t>
        </m:r>
        <m:r>
          <m:t>i</m:t>
        </m:r>
        <m:r>
          <m:t>a</m:t>
        </m:r>
        <m:r>
          <m:t>l</m:t>
        </m:r>
        <m:r>
          <m:t>i</m:t>
        </m:r>
        <m:r>
          <m:t>n</m:t>
        </m:r>
        <m:r>
          <m:t>t</m:t>
        </m:r>
        <m:r>
          <m:t>e</m:t>
        </m:r>
        <m:r>
          <m:t>n</m:t>
        </m:r>
        <m:r>
          <m:t>d</m:t>
        </m:r>
        <m:r>
          <m:t>e</m:t>
        </m:r>
        <m:r>
          <m:t>d</m:t>
        </m:r>
        <m:r>
          <m:t>c</m:t>
        </m:r>
        <m:r>
          <m:t>o</m:t>
        </m:r>
        <m:r>
          <m:t>s</m:t>
        </m:r>
        <m:r>
          <m:t>t</m:t>
        </m:r>
        <m:r>
          <m:t>s</m:t>
        </m:r>
        <m:r>
          <m:t>y</m:t>
        </m:r>
        <m:r>
          <m:t>n</m:t>
        </m:r>
        <m:r>
          <m:t>e</m:t>
        </m:r>
        <m:r>
          <m:t>r</m:t>
        </m:r>
        <m:r>
          <m:t>g</m:t>
        </m:r>
        <m:r>
          <m:t>i</m:t>
        </m:r>
        <m:r>
          <m:t>e</m:t>
        </m:r>
        <m:r>
          <m:t>s</m:t>
        </m:r>
        <m:r>
          <m:rPr>
            <m:sty m:val="p"/>
          </m:rPr>
          <m:t>—</m:t>
        </m:r>
        <m:r>
          <m:t>m</m:t>
        </m:r>
        <m:r>
          <m:t>a</m:t>
        </m:r>
        <m:r>
          <m:t>n</m:t>
        </m:r>
        <m:r>
          <m:t>a</m:t>
        </m:r>
        <m:r>
          <m:t>g</m:t>
        </m:r>
        <m:r>
          <m:t>e</m:t>
        </m:r>
        <m:r>
          <m:t>m</m:t>
        </m:r>
        <m:r>
          <m:t>e</m:t>
        </m:r>
        <m:r>
          <m:t>n</m:t>
        </m:r>
        <m:r>
          <m:t>t</m:t>
        </m:r>
        <m:r>
          <m:t>h</m:t>
        </m:r>
        <m:r>
          <m:t>a</m:t>
        </m:r>
        <m:r>
          <m:t>s</m:t>
        </m:r>
        <m:r>
          <m:t>c</m:t>
        </m:r>
        <m:r>
          <m:t>i</m:t>
        </m:r>
        <m:r>
          <m:t>t</m:t>
        </m:r>
        <m:r>
          <m:t>e</m:t>
        </m:r>
        <m:r>
          <m:t>d</m:t>
        </m:r>
        <m:r>
          <m:rPr>
            <m:sty m:val="p"/>
          </m:rPr>
          <m:t>*</m:t>
        </m:r>
        <m:r>
          <m:rPr>
            <m:sty m:val="p"/>
          </m:rPr>
          <m:t>*</m:t>
        </m:r>
      </m:oMath>
      <w:r>
        <w:rPr>
          <w:b/>
          <w:bCs/>
        </w:rPr>
        <w:t xml:space="preserve">500 million or more</w:t>
      </w:r>
      <w:r>
        <w:t xml:space="preserve">—but also potential regulatory remedies, integration complexity, and higher leverage.</w:t>
      </w:r>
    </w:p>
    <w:p>
      <w:r>
        <w:pict>
          <v:rect style="width:0;height:1.5pt" o:hralign="center" o:hrstd="t" o:hr="t"/>
        </w:pict>
      </w:r>
    </w:p>
    <w:bookmarkEnd w:id="15"/>
    <w:bookmarkStart w:id="16" w:name="X4fad1a702ff530e19ba63568582b7d31aba8550"/>
    <w:p>
      <w:pPr>
        <w:pStyle w:val="Heading2"/>
      </w:pPr>
      <w:r>
        <w:t xml:space="preserve">Qorvo: a strategic catalyst, but not likely an earnings-call catalyst</w:t>
      </w:r>
    </w:p>
    <w:p>
      <w:pPr>
        <w:pStyle w:val="FirstParagraph"/>
      </w:pPr>
      <w:r>
        <w:t xml:space="preserve">Management said in May that the Qorvo regulatory process was progressing, that China’s SAMR review had entered Phase 2, and that it was increasingly hopeful for a</w:t>
      </w:r>
      <w:r>
        <w:t xml:space="preserve"> </w:t>
      </w:r>
      <w:r>
        <w:rPr>
          <w:b/>
          <w:bCs/>
        </w:rPr>
        <w:t xml:space="preserve">late-2026</w:t>
      </w:r>
      <w:r>
        <w:t xml:space="preserve"> </w:t>
      </w:r>
      <w:r>
        <w:t xml:space="preserve">close, even though formal guidance still called for closing in</w:t>
      </w:r>
      <w:r>
        <w:t xml:space="preserve"> </w:t>
      </w:r>
      <w:r>
        <w:rPr>
          <w:b/>
          <w:bCs/>
        </w:rPr>
        <w:t xml:space="preserve">early calendar 2027</w:t>
      </w:r>
      <w:r>
        <w:t xml:space="preserve">.</w:t>
      </w:r>
    </w:p>
    <w:p>
      <w:pPr>
        <w:pStyle w:val="BodyText"/>
      </w:pPr>
      <w:r>
        <w:t xml:space="preserve">Because Skyworks and Qorvo are direct RF competitors, investors should expect management to stay highly constrained in its commentary. Still, any update on timing, regulatory engagement, financing, deal-related costs, or the expected synergy path could affect the stock more than a modest Q3 earnings beat or miss.</w:t>
      </w:r>
    </w:p>
    <w:p>
      <w:r>
        <w:pict>
          <v:rect style="width:0;height:1.5pt" o:hralign="center" o:hrstd="t" o:hr="t"/>
        </w:pict>
      </w:r>
    </w:p>
    <w:bookmarkEnd w:id="16"/>
    <w:bookmarkStart w:id="17" w:name="what-would-make-this-report-bullish"/>
    <w:p>
      <w:pPr>
        <w:pStyle w:val="Heading2"/>
      </w:pPr>
      <w:r>
        <w:t xml:space="preserve">What would make this report bullish?</w:t>
      </w:r>
    </w:p>
    <w:p>
      <w:pPr>
        <w:pStyle w:val="Compact"/>
        <w:numPr>
          <w:ilvl w:val="0"/>
          <w:numId w:val="1004"/>
        </w:numPr>
      </w:pPr>
      <w:r>
        <w:t xml:space="preserve">Revenue and EPS above the high end of guidance;</w:t>
      </w:r>
    </w:p>
    <w:p>
      <w:pPr>
        <w:pStyle w:val="Compact"/>
        <w:numPr>
          <w:ilvl w:val="0"/>
          <w:numId w:val="1004"/>
        </w:numPr>
      </w:pPr>
      <w:r>
        <w:t xml:space="preserve">Gross margin at or above 45.5%;</w:t>
      </w:r>
    </w:p>
    <w:p>
      <w:pPr>
        <w:pStyle w:val="Compact"/>
        <w:numPr>
          <w:ilvl w:val="0"/>
          <w:numId w:val="1004"/>
        </w:numPr>
      </w:pPr>
      <w:r>
        <w:t xml:space="preserve">Confirmation that September follows customary seasonal growth;</w:t>
      </w:r>
    </w:p>
    <w:p>
      <w:pPr>
        <w:pStyle w:val="Compact"/>
        <w:numPr>
          <w:ilvl w:val="0"/>
          <w:numId w:val="1004"/>
        </w:numPr>
      </w:pPr>
      <w:r>
        <w:t xml:space="preserve">Continued confidence in lean inventory and book-to-bill above one;</w:t>
      </w:r>
    </w:p>
    <w:p>
      <w:pPr>
        <w:pStyle w:val="Compact"/>
        <w:numPr>
          <w:ilvl w:val="0"/>
          <w:numId w:val="1004"/>
        </w:numPr>
      </w:pPr>
      <w:r>
        <w:t xml:space="preserve">Broad Markets growth exceeding the high-single-digit year-over-year target;</w:t>
      </w:r>
    </w:p>
    <w:p>
      <w:pPr>
        <w:pStyle w:val="Compact"/>
        <w:numPr>
          <w:ilvl w:val="0"/>
          <w:numId w:val="1004"/>
        </w:numPr>
      </w:pPr>
      <w:r>
        <w:t xml:space="preserve">Evidence that the $1 billion multigenerational premium-Android design win is ramping as expected;</w:t>
      </w:r>
    </w:p>
    <w:p>
      <w:pPr>
        <w:pStyle w:val="Compact"/>
        <w:numPr>
          <w:ilvl w:val="0"/>
          <w:numId w:val="1004"/>
        </w:numPr>
      </w:pPr>
      <w:r>
        <w:t xml:space="preserve">No new evidence of handset demand disruption from memory constraints or customer-order changes.</w:t>
      </w:r>
    </w:p>
    <w:bookmarkEnd w:id="17"/>
    <w:bookmarkStart w:id="18" w:name="what-would-concern-investors"/>
    <w:p>
      <w:pPr>
        <w:pStyle w:val="Heading2"/>
      </w:pPr>
      <w:r>
        <w:t xml:space="preserve">What would concern investors?</w:t>
      </w:r>
    </w:p>
    <w:p>
      <w:pPr>
        <w:pStyle w:val="Compact"/>
        <w:numPr>
          <w:ilvl w:val="0"/>
          <w:numId w:val="1005"/>
        </w:numPr>
      </w:pPr>
      <w:r>
        <w:t xml:space="preserve">Soft September guidance, particularly if attributed to customer inventory, lower builds, or content pressure;</w:t>
      </w:r>
    </w:p>
    <w:p>
      <w:pPr>
        <w:pStyle w:val="Compact"/>
        <w:numPr>
          <w:ilvl w:val="0"/>
          <w:numId w:val="1005"/>
        </w:numPr>
      </w:pPr>
      <w:r>
        <w:t xml:space="preserve">Gross margin below the guided range because of input inflation, expedited freight, poor fab utilization, or mix;</w:t>
      </w:r>
    </w:p>
    <w:p>
      <w:pPr>
        <w:pStyle w:val="Compact"/>
        <w:numPr>
          <w:ilvl w:val="0"/>
          <w:numId w:val="1005"/>
        </w:numPr>
      </w:pPr>
      <w:r>
        <w:t xml:space="preserve">Broad Markets growth decelerating after its recent run;</w:t>
      </w:r>
    </w:p>
    <w:p>
      <w:pPr>
        <w:pStyle w:val="Compact"/>
        <w:numPr>
          <w:ilvl w:val="0"/>
          <w:numId w:val="1005"/>
        </w:numPr>
      </w:pPr>
      <w:r>
        <w:t xml:space="preserve">Inventory growing without a commensurate revenue or cash-flow conversion;</w:t>
      </w:r>
    </w:p>
    <w:p>
      <w:pPr>
        <w:pStyle w:val="Compact"/>
        <w:numPr>
          <w:ilvl w:val="0"/>
          <w:numId w:val="1005"/>
        </w:numPr>
      </w:pPr>
      <w:r>
        <w:t xml:space="preserve">More cautious language on the Qorvo approval timeline, remedies, financing, or synergy realization.</w:t>
      </w:r>
    </w:p>
    <w:bookmarkEnd w:id="18"/>
    <w:bookmarkStart w:id="19" w:name="bottom-line"/>
    <w:p>
      <w:pPr>
        <w:pStyle w:val="Heading2"/>
      </w:pPr>
      <w:r>
        <w:t xml:space="preserve">Bottom line</w:t>
      </w:r>
    </w:p>
    <w:p>
      <w:pPr>
        <w:pStyle w:val="FirstParagraph"/>
      </w:pPr>
      <w:r>
        <w:t xml:space="preserve">SWKS is a</w:t>
      </w:r>
      <w:r>
        <w:t xml:space="preserve"> </w:t>
      </w:r>
      <w:r>
        <w:rPr>
          <w:b/>
          <w:bCs/>
        </w:rPr>
        <w:t xml:space="preserve">guidance-and-commentary quarter</w:t>
      </w:r>
      <w:r>
        <w:t xml:space="preserve">. The June-quarter print should be manageable because expectations are framed by management’s</w:t>
      </w:r>
      <w:r>
        <w:t xml:space="preserve"> </w:t>
      </w:r>
      <m:oMath>
        <m:r>
          <m:t>900</m:t>
        </m:r>
        <m:r>
          <m:rPr>
            <m:sty m:val="p"/>
          </m:rPr>
          <m:t>–</m:t>
        </m:r>
      </m:oMath>
      <w:r>
        <w:t xml:space="preserve">950 million revenue range and $1.03 non-GAAP EPS midpoint. The more important issue is whether Skyworks can substantiate its view that handset seasonality is normal, Broad Markets remains a durable growth contributor, and margin pressure is containable.</w:t>
      </w:r>
    </w:p>
    <w:p>
      <w:pPr>
        <w:pStyle w:val="BodyText"/>
      </w:pPr>
      <w:r>
        <w:t xml:space="preserve">A clean print with a normal September setup could help close some of the stock’s recent relative-performance gap. Conversely, a softer handset outlook or gross-margin disappointment would reinforce the market’s concern that Skyworks remains too dependent on a single customer while it waits for the Qorvo deal to unlock its longer-term strategic case.</w:t>
      </w:r>
    </w:p>
    <w:p>
      <w:pPr>
        <w:pStyle w:val="BodyText"/>
      </w:pPr>
      <w:r>
        <w:rPr>
          <w:i/>
          <w:iCs/>
        </w:rPr>
        <w:t xml:space="preserve">Sources reviewed: Skyworks FY26 Q2 earnings call and Form 10-Q; Skyworks FY25 Q3 earnings call; Skyworks merger-related SEC filings; historical SWKS and SOXX pricing data.</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2026-07-28T01:06:49Z</dcterms:created>
  <dcterms:modified xsi:type="dcterms:W3CDTF">2026-07-28T01:06:49Z</dcterms:modified>
</cp:coreProperties>
</file>

<file path=docProps/custom.xml><?xml version="1.0" encoding="utf-8"?>
<Properties xmlns="http://schemas.openxmlformats.org/officeDocument/2006/custom-properties" xmlns:vt="http://schemas.openxmlformats.org/officeDocument/2006/docPropsVTypes"/>
</file>