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Skyworks Solutions (SWKS) — Q3 FY2026 Earnings Preview</w:t>
      </w:r>
    </w:p>
    <w:p>
      <w:r>
        <w:rPr>
          <w:rFonts w:ascii="Calibri" w:hAnsi="Calibri"/>
          <w:b/>
          <w:color w:val="525866"/>
          <w:sz w:val="22"/>
        </w:rPr>
        <w:t xml:space="preserve">Ticker: </w:t>
      </w:r>
      <w:r>
        <w:rPr>
          <w:rFonts w:ascii="Calibri" w:hAnsi="Calibri"/>
          <w:color w:val="525866"/>
          <w:sz w:val="22"/>
        </w:rPr>
        <w:t xml:space="preserve">SWKS   </w:t>
      </w:r>
      <w:r>
        <w:rPr>
          <w:rFonts w:ascii="Calibri" w:hAnsi="Calibri"/>
          <w:b/>
          <w:color w:val="525866"/>
          <w:sz w:val="22"/>
        </w:rPr>
        <w:t xml:space="preserve">Upcoming Earnings: </w:t>
      </w:r>
      <w:r>
        <w:rPr>
          <w:rFonts w:ascii="Calibri" w:hAnsi="Calibri"/>
          <w:color w:val="525866"/>
          <w:sz w:val="22"/>
        </w:rPr>
        <w:t xml:space="preserve">Q3 FY2026 (Quarter Ending June 30, 2026)   </w:t>
      </w:r>
      <w:r>
        <w:rPr>
          <w:rFonts w:ascii="Calibri" w:hAnsi="Calibri"/>
          <w:b/>
          <w:color w:val="525866"/>
          <w:sz w:val="22"/>
        </w:rPr>
        <w:t xml:space="preserve">Prepared: </w:t>
      </w:r>
      <w:r>
        <w:rPr>
          <w:rFonts w:ascii="Calibri" w:hAnsi="Calibri"/>
          <w:color w:val="525866"/>
          <w:sz w:val="22"/>
        </w:rPr>
        <w:t>July 27,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Q3 FY2026 is modestly constructive — consensus sits just below the guidance midpoint on revenue and in line on EPS, leaving room for a beat if mobile holds and Broad Markets continues its streak; the biggest swing factor is whether input cost headwinds (gold, expedite fees) compress gross margin below the guided 44.5–45.5% range.</w:t>
      </w:r>
    </w:p>
    <w:p>
      <w:r>
        <w:rPr>
          <w:rFonts w:ascii="Calibri" w:hAnsi="Calibri"/>
          <w:color w:val="525866"/>
          <w:sz w:val="22"/>
        </w:rPr>
        <w:t xml:space="preserve">Heading into Q3 FY2026, the bar looks achievable: management guided revenue of $900–$950M (midpoint $925M) versus current consensus of ~$926M, and EPS of $1.03 at the midpoint versus consensus of ~$1.04 — a setup where the Street is essentially tracking guidance with minimal cushion. </w:t>
      </w:r>
      <w:r>
        <w:rPr>
          <w:rFonts w:ascii="Calibri" w:hAnsi="Calibri"/>
          <w:color w:val="525866"/>
          <w:sz w:val="22"/>
        </w:rPr>
        <w:t xml:space="preserve">Management's tone on the May 5 call was notably constructive: book-to-bill above 1, lean channel inventories, and strong demand signals across mobile, Wi-Fi, data center, and automotive all point to a clean demand environment. </w:t>
      </w:r>
      <w:r>
        <w:rPr>
          <w:rFonts w:ascii="Calibri" w:hAnsi="Calibri"/>
          <w:color w:val="525866"/>
          <w:sz w:val="22"/>
        </w:rPr>
        <w:t xml:space="preserve">Estimate revisions have been stable since the last print — consensus for Q3 revenue has barely moved from the post-earnings baseline of ~$926M, suggesting the Street is comfortable with guidance rather than building in upside. </w:t>
      </w:r>
      <w:r>
        <w:rPr>
          <w:rFonts w:ascii="Calibri" w:hAnsi="Calibri"/>
          <w:color w:val="525866"/>
          <w:sz w:val="22"/>
        </w:rPr>
        <w:t xml:space="preserve">The stock has underperformed the SOXX by roughly 26 percentage points since the May 5 earnings date (SWKS −17% vs. SOXX +9%), reflecting a KeyBanc downgrade in July and broader multiple compression, meaning the stock is not pricing in a beat. </w:t>
      </w:r>
      <w:r>
        <w:rPr>
          <w:rFonts w:ascii="Calibri" w:hAnsi="Calibri"/>
          <w:color w:val="525866"/>
          <w:sz w:val="22"/>
        </w:rPr>
        <w:t>The key wildcard is the Qorvo merger timeline: any signal of an accelerated close (management guided 'increasingly hopeful' for late 2026 vs. formal early 2027 guidance) or a China SAMR setback could move the stock more than the quarterly print itself.</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tracking guidance closely on revenue and EPS, leaving a low bar with modest beat potential; gross margin is the bigger swing factor given ongoing input cost headwinds that management is only partially offsetting through selective price increases.</w:t>
      </w:r>
    </w:p>
    <w:p>
      <w:pPr>
        <w:pStyle w:val="Heading3"/>
      </w:pPr>
      <w:r>
        <w:rPr>
          <w:rFonts w:ascii="Calibri" w:hAnsi="Calibri"/>
          <w:b/>
          <w:color w:val="3B4259"/>
          <w:sz w:val="24"/>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 Actual)</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$943.7M</w:t>
            </w:r>
          </w:p>
        </w:tc>
        <w:tc>
          <w:tcPr>
            <w:tcW w:type="dxa" w:w="1234"/>
          </w:tcPr>
          <w:p>
            <w:r>
              <w:rPr>
                <w:rFonts w:ascii="Calibri" w:hAnsi="Calibri"/>
                <w:sz w:val="22"/>
              </w:rPr>
              <w:t>$965.0M</w:t>
            </w:r>
          </w:p>
        </w:tc>
        <w:tc>
          <w:tcPr>
            <w:tcW w:type="dxa" w:w="1234"/>
          </w:tcPr>
          <w:p>
            <w:r>
              <w:rPr>
                <w:rFonts w:ascii="Calibri" w:hAnsi="Calibri"/>
                <w:sz w:val="22"/>
              </w:rPr>
              <w:t>$926.1M</w:t>
            </w:r>
          </w:p>
        </w:tc>
        <w:tc>
          <w:tcPr>
            <w:tcW w:type="dxa" w:w="1234"/>
          </w:tcPr>
          <w:p>
            <w:r>
              <w:rPr>
                <w:rFonts w:ascii="Calibri" w:hAnsi="Calibri"/>
                <w:b/>
                <w:color w:val="E5484D"/>
                <w:sz w:val="22"/>
              </w:rPr>
              <w:t>−4.0%</w:t>
            </w:r>
          </w:p>
        </w:tc>
        <w:tc>
          <w:tcPr>
            <w:tcW w:type="dxa" w:w="1234"/>
          </w:tcPr>
          <w:p>
            <w:r>
              <w:rPr>
                <w:rFonts w:ascii="Calibri" w:hAnsi="Calibri"/>
                <w:sz w:val="22"/>
              </w:rPr>
              <w:t>$900–$950M (mid: $925M)</w:t>
            </w:r>
          </w:p>
        </w:tc>
        <w:tc>
          <w:tcPr>
            <w:tcW w:type="dxa" w:w="1234"/>
          </w:tcPr>
          <w:p>
            <w:r>
              <w:rPr>
                <w:rFonts w:ascii="Calibri" w:hAnsi="Calibri"/>
                <w:sz w:val="22"/>
              </w:rPr>
              <w:t>+0.1%</w:t>
            </w:r>
          </w:p>
        </w:tc>
      </w:tr>
      <w:tr>
        <w:tc>
          <w:tcPr>
            <w:tcW w:type="dxa" w:w="1234"/>
          </w:tcPr>
          <w:p>
            <w:r>
              <w:rPr>
                <w:rFonts w:ascii="Calibri" w:hAnsi="Calibri"/>
                <w:sz w:val="22"/>
              </w:rPr>
              <w:t>Mobile Revenue ($M)</w:t>
            </w:r>
          </w:p>
        </w:tc>
        <w:tc>
          <w:tcPr>
            <w:tcW w:type="dxa" w:w="1234"/>
          </w:tcPr>
          <w:p>
            <w:r>
              <w:rPr>
                <w:rFonts w:ascii="Calibri" w:hAnsi="Calibri"/>
                <w:sz w:val="22"/>
              </w:rPr>
              <w:t>$547.3M</w:t>
            </w:r>
          </w:p>
        </w:tc>
        <w:tc>
          <w:tcPr>
            <w:tcW w:type="dxa" w:w="1234"/>
          </w:tcPr>
          <w:p>
            <w:r>
              <w:rPr>
                <w:rFonts w:ascii="Calibri" w:hAnsi="Calibri"/>
                <w:sz w:val="22"/>
              </w:rPr>
              <w:t>$598.3M</w:t>
            </w:r>
          </w:p>
        </w:tc>
        <w:tc>
          <w:tcPr>
            <w:tcW w:type="dxa" w:w="1234"/>
          </w:tcPr>
          <w:p>
            <w:r>
              <w:rPr>
                <w:rFonts w:ascii="Calibri" w:hAnsi="Calibri"/>
                <w:sz w:val="22"/>
              </w:rPr>
              <w:t>$525.6M</w:t>
            </w:r>
          </w:p>
        </w:tc>
        <w:tc>
          <w:tcPr>
            <w:tcW w:type="dxa" w:w="1234"/>
          </w:tcPr>
          <w:p>
            <w:r>
              <w:rPr>
                <w:rFonts w:ascii="Calibri" w:hAnsi="Calibri"/>
                <w:b/>
                <w:color w:val="E5484D"/>
                <w:sz w:val="22"/>
              </w:rPr>
              <w:t>−12.2%</w:t>
            </w:r>
          </w:p>
        </w:tc>
        <w:tc>
          <w:tcPr>
            <w:tcW w:type="dxa" w:w="1234"/>
          </w:tcPr>
          <w:p>
            <w:r>
              <w:rPr>
                <w:rFonts w:ascii="Calibri" w:hAnsi="Calibri"/>
                <w:sz w:val="22"/>
              </w:rPr>
              <w:t>Low single-digit decline seq.</w:t>
            </w:r>
          </w:p>
        </w:tc>
        <w:tc>
          <w:tcPr>
            <w:tcW w:type="dxa" w:w="1234"/>
          </w:tcPr>
          <w:p>
            <w:r>
              <w:rPr>
                <w:rFonts w:ascii="Calibri" w:hAnsi="Calibri"/>
                <w:sz w:val="22"/>
              </w:rPr>
              <w:t>N/A (directional only)</w:t>
            </w:r>
          </w:p>
        </w:tc>
      </w:tr>
      <w:tr>
        <w:tc>
          <w:tcPr>
            <w:tcW w:type="dxa" w:w="1234"/>
          </w:tcPr>
          <w:p>
            <w:r>
              <w:rPr>
                <w:rFonts w:ascii="Calibri" w:hAnsi="Calibri"/>
                <w:sz w:val="22"/>
              </w:rPr>
              <w:t>Broad Markets Revenue ($M)</w:t>
            </w:r>
          </w:p>
        </w:tc>
        <w:tc>
          <w:tcPr>
            <w:tcW w:type="dxa" w:w="1234"/>
          </w:tcPr>
          <w:p>
            <w:r>
              <w:rPr>
                <w:rFonts w:ascii="Calibri" w:hAnsi="Calibri"/>
                <w:sz w:val="22"/>
              </w:rPr>
              <w:t>$396.4M</w:t>
            </w:r>
          </w:p>
        </w:tc>
        <w:tc>
          <w:tcPr>
            <w:tcW w:type="dxa" w:w="1234"/>
          </w:tcPr>
          <w:p>
            <w:r>
              <w:rPr>
                <w:rFonts w:ascii="Calibri" w:hAnsi="Calibri"/>
                <w:sz w:val="22"/>
              </w:rPr>
              <w:t>$366.7M</w:t>
            </w:r>
          </w:p>
        </w:tc>
        <w:tc>
          <w:tcPr>
            <w:tcW w:type="dxa" w:w="1234"/>
          </w:tcPr>
          <w:p>
            <w:r>
              <w:rPr>
                <w:rFonts w:ascii="Calibri" w:hAnsi="Calibri"/>
                <w:sz w:val="22"/>
              </w:rPr>
              <w:t>$400.5M</w:t>
            </w:r>
          </w:p>
        </w:tc>
        <w:tc>
          <w:tcPr>
            <w:tcW w:type="dxa" w:w="1234"/>
          </w:tcPr>
          <w:p>
            <w:r>
              <w:rPr>
                <w:rFonts w:ascii="Calibri" w:hAnsi="Calibri"/>
                <w:b/>
                <w:color w:val="30A46C"/>
                <w:sz w:val="22"/>
              </w:rPr>
              <w:t>+9.2%</w:t>
            </w:r>
          </w:p>
        </w:tc>
        <w:tc>
          <w:tcPr>
            <w:tcW w:type="dxa" w:w="1234"/>
          </w:tcPr>
          <w:p>
            <w:r>
              <w:rPr>
                <w:rFonts w:ascii="Calibri" w:hAnsi="Calibri"/>
                <w:sz w:val="22"/>
              </w:rPr>
              <w:t>Up modestly seq.; 43% of sales; +HSD YoY</w:t>
            </w:r>
          </w:p>
        </w:tc>
        <w:tc>
          <w:tcPr>
            <w:tcW w:type="dxa" w:w="1234"/>
          </w:tcPr>
          <w:p>
            <w:r>
              <w:rPr>
                <w:rFonts w:ascii="Calibri" w:hAnsi="Calibri"/>
                <w:sz w:val="22"/>
              </w:rPr>
              <w:t>N/A (directional only)</w:t>
            </w:r>
          </w:p>
        </w:tc>
      </w:tr>
      <w:tr>
        <w:tc>
          <w:tcPr>
            <w:tcW w:type="dxa" w:w="1234"/>
          </w:tcPr>
          <w:p>
            <w:r>
              <w:rPr>
                <w:rFonts w:ascii="Calibri" w:hAnsi="Calibri"/>
                <w:sz w:val="22"/>
              </w:rPr>
              <w:t>Gross Profit – Operating ($M)</w:t>
            </w:r>
          </w:p>
        </w:tc>
        <w:tc>
          <w:tcPr>
            <w:tcW w:type="dxa" w:w="1234"/>
          </w:tcPr>
          <w:p>
            <w:r>
              <w:rPr>
                <w:rFonts w:ascii="Calibri" w:hAnsi="Calibri"/>
                <w:sz w:val="22"/>
              </w:rPr>
              <w:t>$424.9M</w:t>
            </w:r>
          </w:p>
        </w:tc>
        <w:tc>
          <w:tcPr>
            <w:tcW w:type="dxa" w:w="1234"/>
          </w:tcPr>
          <w:p>
            <w:r>
              <w:rPr>
                <w:rFonts w:ascii="Calibri" w:hAnsi="Calibri"/>
                <w:sz w:val="22"/>
              </w:rPr>
              <w:t>$454.2M</w:t>
            </w:r>
          </w:p>
        </w:tc>
        <w:tc>
          <w:tcPr>
            <w:tcW w:type="dxa" w:w="1234"/>
          </w:tcPr>
          <w:p>
            <w:r>
              <w:rPr>
                <w:rFonts w:ascii="Calibri" w:hAnsi="Calibri"/>
                <w:sz w:val="22"/>
              </w:rPr>
              <w:t>$416.8M</w:t>
            </w:r>
          </w:p>
        </w:tc>
        <w:tc>
          <w:tcPr>
            <w:tcW w:type="dxa" w:w="1234"/>
          </w:tcPr>
          <w:p>
            <w:r>
              <w:rPr>
                <w:rFonts w:ascii="Calibri" w:hAnsi="Calibri"/>
                <w:b/>
                <w:color w:val="E5484D"/>
                <w:sz w:val="22"/>
              </w:rPr>
              <w:t>−8.2%</w:t>
            </w:r>
          </w:p>
        </w:tc>
        <w:tc>
          <w:tcPr>
            <w:tcW w:type="dxa" w:w="1234"/>
          </w:tcPr>
          <w:p>
            <w:r>
              <w:rPr>
                <w:rFonts w:ascii="Calibri" w:hAnsi="Calibri"/>
                <w:sz w:val="22"/>
              </w:rPr>
              <w:t>GM ~44.5–45.5% (mid: ~45.0%)</w:t>
            </w:r>
          </w:p>
        </w:tc>
        <w:tc>
          <w:tcPr>
            <w:tcW w:type="dxa" w:w="1234"/>
          </w:tcPr>
          <w:p>
            <w:r>
              <w:rPr>
                <w:rFonts w:ascii="Calibri" w:hAnsi="Calibri"/>
                <w:sz w:val="22"/>
              </w:rPr>
              <w:t>−0.3% vs. midpoint</w:t>
            </w:r>
          </w:p>
        </w:tc>
      </w:tr>
      <w:tr>
        <w:tc>
          <w:tcPr>
            <w:tcW w:type="dxa" w:w="1234"/>
          </w:tcPr>
          <w:p>
            <w:r>
              <w:rPr>
                <w:rFonts w:ascii="Calibri" w:hAnsi="Calibri"/>
                <w:sz w:val="22"/>
              </w:rPr>
              <w:t>Operating Income – Operating ($M)</w:t>
            </w:r>
          </w:p>
        </w:tc>
        <w:tc>
          <w:tcPr>
            <w:tcW w:type="dxa" w:w="1234"/>
          </w:tcPr>
          <w:p>
            <w:r>
              <w:rPr>
                <w:rFonts w:ascii="Calibri" w:hAnsi="Calibri"/>
                <w:sz w:val="22"/>
              </w:rPr>
              <w:t>$188.9M</w:t>
            </w:r>
          </w:p>
        </w:tc>
        <w:tc>
          <w:tcPr>
            <w:tcW w:type="dxa" w:w="1234"/>
          </w:tcPr>
          <w:p>
            <w:r>
              <w:rPr>
                <w:rFonts w:ascii="Calibri" w:hAnsi="Calibri"/>
                <w:sz w:val="22"/>
              </w:rPr>
              <w:t>$224.4M</w:t>
            </w:r>
          </w:p>
        </w:tc>
        <w:tc>
          <w:tcPr>
            <w:tcW w:type="dxa" w:w="1234"/>
          </w:tcPr>
          <w:p>
            <w:r>
              <w:rPr>
                <w:rFonts w:ascii="Calibri" w:hAnsi="Calibri"/>
                <w:sz w:val="22"/>
              </w:rPr>
              <w:t>$175.9M</w:t>
            </w:r>
          </w:p>
        </w:tc>
        <w:tc>
          <w:tcPr>
            <w:tcW w:type="dxa" w:w="1234"/>
          </w:tcPr>
          <w:p>
            <w:r>
              <w:rPr>
                <w:rFonts w:ascii="Calibri" w:hAnsi="Calibri"/>
                <w:b/>
                <w:color w:val="E5484D"/>
                <w:sz w:val="22"/>
              </w:rPr>
              <w:t>−21.6%</w:t>
            </w:r>
          </w:p>
        </w:tc>
        <w:tc>
          <w:tcPr>
            <w:tcW w:type="dxa" w:w="1234"/>
          </w:tcPr>
          <w:p>
            <w:r>
              <w:rPr>
                <w:rFonts w:ascii="Calibri" w:hAnsi="Calibri"/>
                <w:sz w:val="22"/>
              </w:rPr>
              <w:t>OpEx $235–$245M</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$1.15</w:t>
            </w:r>
          </w:p>
        </w:tc>
        <w:tc>
          <w:tcPr>
            <w:tcW w:type="dxa" w:w="1234"/>
          </w:tcPr>
          <w:p>
            <w:r>
              <w:rPr>
                <w:rFonts w:ascii="Calibri" w:hAnsi="Calibri"/>
                <w:sz w:val="22"/>
              </w:rPr>
              <w:t>$1.33</w:t>
            </w:r>
          </w:p>
        </w:tc>
        <w:tc>
          <w:tcPr>
            <w:tcW w:type="dxa" w:w="1234"/>
          </w:tcPr>
          <w:p>
            <w:r>
              <w:rPr>
                <w:rFonts w:ascii="Calibri" w:hAnsi="Calibri"/>
                <w:sz w:val="22"/>
              </w:rPr>
              <w:t>$1.04</w:t>
            </w:r>
          </w:p>
        </w:tc>
        <w:tc>
          <w:tcPr>
            <w:tcW w:type="dxa" w:w="1234"/>
          </w:tcPr>
          <w:p>
            <w:r>
              <w:rPr>
                <w:rFonts w:ascii="Calibri" w:hAnsi="Calibri"/>
                <w:b/>
                <w:color w:val="E5484D"/>
                <w:sz w:val="22"/>
              </w:rPr>
              <w:t>−21.8%</w:t>
            </w:r>
          </w:p>
        </w:tc>
        <w:tc>
          <w:tcPr>
            <w:tcW w:type="dxa" w:w="1234"/>
          </w:tcPr>
          <w:p>
            <w:r>
              <w:rPr>
                <w:rFonts w:ascii="Calibri" w:hAnsi="Calibri"/>
                <w:sz w:val="22"/>
              </w:rPr>
              <w:t>$1.03 (at rev. midpoint)</w:t>
            </w:r>
          </w:p>
        </w:tc>
        <w:tc>
          <w:tcPr>
            <w:tcW w:type="dxa" w:w="1234"/>
          </w:tcPr>
          <w:p>
            <w:r>
              <w:rPr>
                <w:rFonts w:ascii="Calibri" w:hAnsi="Calibri"/>
                <w:sz w:val="22"/>
              </w:rPr>
              <w:t>+1.0%</w:t>
            </w:r>
          </w:p>
        </w:tc>
      </w:tr>
      <w:tr>
        <w:tc>
          <w:tcPr>
            <w:tcW w:type="dxa" w:w="1234"/>
          </w:tcPr>
          <w:p>
            <w:r>
              <w:rPr>
                <w:rFonts w:ascii="Calibri" w:hAnsi="Calibri"/>
                <w:sz w:val="22"/>
              </w:rPr>
              <w:t>Free Cash Flow ($M)</w:t>
            </w:r>
          </w:p>
        </w:tc>
        <w:tc>
          <w:tcPr>
            <w:tcW w:type="dxa" w:w="1234"/>
          </w:tcPr>
          <w:p>
            <w:r>
              <w:rPr>
                <w:rFonts w:ascii="Calibri" w:hAnsi="Calibri"/>
                <w:sz w:val="22"/>
              </w:rPr>
              <w:t>–$32.0M</w:t>
            </w:r>
          </w:p>
        </w:tc>
        <w:tc>
          <w:tcPr>
            <w:tcW w:type="dxa" w:w="1234"/>
          </w:tcPr>
          <w:p>
            <w:r>
              <w:rPr>
                <w:rFonts w:ascii="Calibri" w:hAnsi="Calibri"/>
                <w:sz w:val="22"/>
              </w:rPr>
              <w:t>$252.7M</w:t>
            </w:r>
          </w:p>
        </w:tc>
        <w:tc>
          <w:tcPr>
            <w:tcW w:type="dxa" w:w="1234"/>
          </w:tcPr>
          <w:p>
            <w:r>
              <w:rPr>
                <w:rFonts w:ascii="Calibri" w:hAnsi="Calibri"/>
                <w:sz w:val="22"/>
              </w:rPr>
              <w:t>$104.3M</w:t>
            </w:r>
          </w:p>
        </w:tc>
        <w:tc>
          <w:tcPr>
            <w:tcW w:type="dxa" w:w="1234"/>
          </w:tcPr>
          <w:p>
            <w:r>
              <w:rPr>
                <w:rFonts w:ascii="Calibri" w:hAnsi="Calibri"/>
                <w:b/>
                <w:color w:val="E5484D"/>
                <w:sz w:val="22"/>
              </w:rPr>
              <w:t>−58.7%</w:t>
            </w:r>
          </w:p>
        </w:tc>
        <w:tc>
          <w:tcPr>
            <w:tcW w:type="dxa" w:w="1234"/>
          </w:tcPr>
          <w:p>
            <w:r>
              <w:rPr>
                <w:rFonts w:ascii="Calibri" w:hAnsi="Calibri"/>
                <w:sz w:val="22"/>
              </w:rPr>
              <w:t>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Q3 FY2026 = quarter ending June 30, 2026 (VA label: 3QFY-2026). Guidance from SWKS Q2 FY2026 earnings call (May 5, 2026). YoY change compares Q3 FY2026 consensus vs. Q3 FY2025 actual.</w:t>
      </w:r>
    </w:p>
    <w:p>
      <w:pPr>
        <w:pStyle w:val="Heading3"/>
      </w:pPr>
      <w:r>
        <w:rPr>
          <w:rFonts w:ascii="Calibri" w:hAnsi="Calibri"/>
          <w:b/>
          <w:color w:val="3B4259"/>
          <w:sz w:val="24"/>
        </w:rPr>
        <w:t>Table 2 — Beat/Miss History (Last 8 Quarters)</w:t>
      </w:r>
    </w:p>
    <w:p>
      <w:r>
        <w:rPr>
          <w:rFonts w:ascii="Calibri" w:hAnsi="Calibri"/>
          <w:b/>
          <w:color w:val="525866"/>
          <w:sz w:val="22"/>
        </w:rPr>
        <w:t>Top KPI 1: Net Revenue | Top KPI 2: EPS – Diluted Operating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($M)</w:t>
            </w:r>
          </w:p>
        </w:tc>
        <w:tc>
          <w:tcPr>
            <w:tcW w:type="dxa" w:w="1080"/>
            <w:shd w:val="clear" w:color="auto" w:fill="3B4259"/>
          </w:tcPr>
          <w:p>
            <w:r>
              <w:rPr>
                <w:rFonts w:ascii="Calibri" w:hAnsi="Calibri"/>
                <w:b/>
                <w:color w:val="FFFFFF"/>
                <w:sz w:val="22"/>
              </w:rPr>
              <w:t>Revenue Consensus ($M)</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 ($)</w:t>
            </w:r>
          </w:p>
        </w:tc>
        <w:tc>
          <w:tcPr>
            <w:tcW w:type="dxa" w:w="1080"/>
            <w:shd w:val="clear" w:color="auto" w:fill="3B4259"/>
          </w:tcPr>
          <w:p>
            <w:r>
              <w:rPr>
                <w:rFonts w:ascii="Calibri" w:hAnsi="Calibri"/>
                <w:b/>
                <w:color w:val="FFFFFF"/>
                <w:sz w:val="22"/>
              </w:rPr>
              <w:t>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FY2024</w:t>
            </w:r>
          </w:p>
        </w:tc>
        <w:tc>
          <w:tcPr>
            <w:tcW w:type="dxa" w:w="1080"/>
          </w:tcPr>
          <w:p>
            <w:r>
              <w:rPr>
                <w:rFonts w:ascii="Calibri" w:hAnsi="Calibri"/>
                <w:sz w:val="22"/>
              </w:rPr>
              <w:t>$905.5</w:t>
            </w:r>
          </w:p>
        </w:tc>
        <w:tc>
          <w:tcPr>
            <w:tcW w:type="dxa" w:w="1080"/>
          </w:tcPr>
          <w:p>
            <w:r>
              <w:rPr>
                <w:rFonts w:ascii="Calibri" w:hAnsi="Calibri"/>
                <w:sz w:val="22"/>
              </w:rPr>
              <w:t>$900.5</w:t>
            </w:r>
          </w:p>
        </w:tc>
        <w:tc>
          <w:tcPr>
            <w:tcW w:type="dxa" w:w="1080"/>
          </w:tcPr>
          <w:p>
            <w:r>
              <w:rPr>
                <w:rFonts w:ascii="Calibri" w:hAnsi="Calibri"/>
                <w:b/>
                <w:color w:val="30A46C"/>
                <w:sz w:val="22"/>
              </w:rPr>
              <w:t>+0.6%</w:t>
            </w:r>
          </w:p>
        </w:tc>
        <w:tc>
          <w:tcPr>
            <w:tcW w:type="dxa" w:w="1080"/>
          </w:tcPr>
          <w:p>
            <w:r>
              <w:rPr>
                <w:rFonts w:ascii="Calibri" w:hAnsi="Calibri"/>
                <w:sz w:val="22"/>
              </w:rPr>
              <w:t>$1.21</w:t>
            </w:r>
          </w:p>
        </w:tc>
        <w:tc>
          <w:tcPr>
            <w:tcW w:type="dxa" w:w="1080"/>
          </w:tcPr>
          <w:p>
            <w:r>
              <w:rPr>
                <w:rFonts w:ascii="Calibri" w:hAnsi="Calibri"/>
                <w:sz w:val="22"/>
              </w:rPr>
              <w:t>$1.21</w:t>
            </w:r>
          </w:p>
        </w:tc>
        <w:tc>
          <w:tcPr>
            <w:tcW w:type="dxa" w:w="1080"/>
          </w:tcPr>
          <w:p>
            <w:r>
              <w:rPr>
                <w:rFonts w:ascii="Calibri" w:hAnsi="Calibri"/>
                <w:sz w:val="22"/>
              </w:rPr>
              <w:t>0.0%</w:t>
            </w:r>
          </w:p>
        </w:tc>
        <w:tc>
          <w:tcPr>
            <w:tcW w:type="dxa" w:w="1080"/>
          </w:tcPr>
          <w:p>
            <w:r>
              <w:rPr>
                <w:rFonts w:ascii="Calibri" w:hAnsi="Calibri"/>
                <w:sz w:val="22"/>
              </w:rPr>
              <w:t>Slight Beat / In-Line</w:t>
            </w:r>
          </w:p>
        </w:tc>
      </w:tr>
      <w:tr>
        <w:tc>
          <w:tcPr>
            <w:tcW w:type="dxa" w:w="1080"/>
          </w:tcPr>
          <w:p>
            <w:r>
              <w:rPr>
                <w:rFonts w:ascii="Calibri" w:hAnsi="Calibri"/>
                <w:sz w:val="22"/>
              </w:rPr>
              <w:t>Q4 FY2024</w:t>
            </w:r>
          </w:p>
        </w:tc>
        <w:tc>
          <w:tcPr>
            <w:tcW w:type="dxa" w:w="1080"/>
          </w:tcPr>
          <w:p>
            <w:r>
              <w:rPr>
                <w:rFonts w:ascii="Calibri" w:hAnsi="Calibri"/>
                <w:sz w:val="22"/>
              </w:rPr>
              <w:t>$1,024.9</w:t>
            </w:r>
          </w:p>
        </w:tc>
        <w:tc>
          <w:tcPr>
            <w:tcW w:type="dxa" w:w="1080"/>
          </w:tcPr>
          <w:p>
            <w:r>
              <w:rPr>
                <w:rFonts w:ascii="Calibri" w:hAnsi="Calibri"/>
                <w:sz w:val="22"/>
              </w:rPr>
              <w:t>$1,022.0</w:t>
            </w:r>
          </w:p>
        </w:tc>
        <w:tc>
          <w:tcPr>
            <w:tcW w:type="dxa" w:w="1080"/>
          </w:tcPr>
          <w:p>
            <w:r>
              <w:rPr>
                <w:rFonts w:ascii="Calibri" w:hAnsi="Calibri"/>
                <w:b/>
                <w:color w:val="30A46C"/>
                <w:sz w:val="22"/>
              </w:rPr>
              <w:t>+0.3%</w:t>
            </w:r>
          </w:p>
        </w:tc>
        <w:tc>
          <w:tcPr>
            <w:tcW w:type="dxa" w:w="1080"/>
          </w:tcPr>
          <w:p>
            <w:r>
              <w:rPr>
                <w:rFonts w:ascii="Calibri" w:hAnsi="Calibri"/>
                <w:sz w:val="22"/>
              </w:rPr>
              <w:t>$1.55</w:t>
            </w:r>
          </w:p>
        </w:tc>
        <w:tc>
          <w:tcPr>
            <w:tcW w:type="dxa" w:w="1080"/>
          </w:tcPr>
          <w:p>
            <w:r>
              <w:rPr>
                <w:rFonts w:ascii="Calibri" w:hAnsi="Calibri"/>
                <w:sz w:val="22"/>
              </w:rPr>
              <w:t>$1.53</w:t>
            </w:r>
          </w:p>
        </w:tc>
        <w:tc>
          <w:tcPr>
            <w:tcW w:type="dxa" w:w="1080"/>
          </w:tcPr>
          <w:p>
            <w:r>
              <w:rPr>
                <w:rFonts w:ascii="Calibri" w:hAnsi="Calibri"/>
                <w:b/>
                <w:color w:val="30A46C"/>
                <w:sz w:val="22"/>
              </w:rPr>
              <w:t>+1.3%</w:t>
            </w:r>
          </w:p>
        </w:tc>
        <w:tc>
          <w:tcPr>
            <w:tcW w:type="dxa" w:w="1080"/>
          </w:tcPr>
          <w:p>
            <w:r>
              <w:rPr>
                <w:rFonts w:ascii="Calibri" w:hAnsi="Calibri"/>
                <w:sz w:val="22"/>
              </w:rPr>
              <w:t>Beat</w:t>
            </w:r>
          </w:p>
        </w:tc>
      </w:tr>
      <w:tr>
        <w:tc>
          <w:tcPr>
            <w:tcW w:type="dxa" w:w="1080"/>
          </w:tcPr>
          <w:p>
            <w:r>
              <w:rPr>
                <w:rFonts w:ascii="Calibri" w:hAnsi="Calibri"/>
                <w:sz w:val="22"/>
              </w:rPr>
              <w:t>Q1 FY2025</w:t>
            </w:r>
          </w:p>
        </w:tc>
        <w:tc>
          <w:tcPr>
            <w:tcW w:type="dxa" w:w="1080"/>
          </w:tcPr>
          <w:p>
            <w:r>
              <w:rPr>
                <w:rFonts w:ascii="Calibri" w:hAnsi="Calibri"/>
                <w:sz w:val="22"/>
              </w:rPr>
              <w:t>$1,068.5</w:t>
            </w:r>
          </w:p>
        </w:tc>
        <w:tc>
          <w:tcPr>
            <w:tcW w:type="dxa" w:w="1080"/>
          </w:tcPr>
          <w:p>
            <w:r>
              <w:rPr>
                <w:rFonts w:ascii="Calibri" w:hAnsi="Calibri"/>
                <w:sz w:val="22"/>
              </w:rPr>
              <w:t>$1,066.0</w:t>
            </w:r>
          </w:p>
        </w:tc>
        <w:tc>
          <w:tcPr>
            <w:tcW w:type="dxa" w:w="1080"/>
          </w:tcPr>
          <w:p>
            <w:r>
              <w:rPr>
                <w:rFonts w:ascii="Calibri" w:hAnsi="Calibri"/>
                <w:b/>
                <w:color w:val="30A46C"/>
                <w:sz w:val="22"/>
              </w:rPr>
              <w:t>+0.2%</w:t>
            </w:r>
          </w:p>
        </w:tc>
        <w:tc>
          <w:tcPr>
            <w:tcW w:type="dxa" w:w="1080"/>
          </w:tcPr>
          <w:p>
            <w:r>
              <w:rPr>
                <w:rFonts w:ascii="Calibri" w:hAnsi="Calibri"/>
                <w:sz w:val="22"/>
              </w:rPr>
              <w:t>$1.60</w:t>
            </w:r>
          </w:p>
        </w:tc>
        <w:tc>
          <w:tcPr>
            <w:tcW w:type="dxa" w:w="1080"/>
          </w:tcPr>
          <w:p>
            <w:r>
              <w:rPr>
                <w:rFonts w:ascii="Calibri" w:hAnsi="Calibri"/>
                <w:sz w:val="22"/>
              </w:rPr>
              <w:t>$1.57</w:t>
            </w:r>
          </w:p>
        </w:tc>
        <w:tc>
          <w:tcPr>
            <w:tcW w:type="dxa" w:w="1080"/>
          </w:tcPr>
          <w:p>
            <w:r>
              <w:rPr>
                <w:rFonts w:ascii="Calibri" w:hAnsi="Calibri"/>
                <w:b/>
                <w:color w:val="30A46C"/>
                <w:sz w:val="22"/>
              </w:rPr>
              <w:t>+1.9%</w:t>
            </w:r>
          </w:p>
        </w:tc>
        <w:tc>
          <w:tcPr>
            <w:tcW w:type="dxa" w:w="1080"/>
          </w:tcPr>
          <w:p>
            <w:r>
              <w:rPr>
                <w:rFonts w:ascii="Calibri" w:hAnsi="Calibri"/>
                <w:sz w:val="22"/>
              </w:rPr>
              <w:t>Beat</w:t>
            </w:r>
          </w:p>
        </w:tc>
      </w:tr>
      <w:tr>
        <w:tc>
          <w:tcPr>
            <w:tcW w:type="dxa" w:w="1080"/>
          </w:tcPr>
          <w:p>
            <w:r>
              <w:rPr>
                <w:rFonts w:ascii="Calibri" w:hAnsi="Calibri"/>
                <w:sz w:val="22"/>
              </w:rPr>
              <w:t>Q2 FY2025</w:t>
            </w:r>
          </w:p>
        </w:tc>
        <w:tc>
          <w:tcPr>
            <w:tcW w:type="dxa" w:w="1080"/>
          </w:tcPr>
          <w:p>
            <w:r>
              <w:rPr>
                <w:rFonts w:ascii="Calibri" w:hAnsi="Calibri"/>
                <w:sz w:val="22"/>
              </w:rPr>
              <w:t>$953.2</w:t>
            </w:r>
          </w:p>
        </w:tc>
        <w:tc>
          <w:tcPr>
            <w:tcW w:type="dxa" w:w="1080"/>
          </w:tcPr>
          <w:p>
            <w:r>
              <w:rPr>
                <w:rFonts w:ascii="Calibri" w:hAnsi="Calibri"/>
                <w:sz w:val="22"/>
              </w:rPr>
              <w:t>$952.9</w:t>
            </w:r>
          </w:p>
        </w:tc>
        <w:tc>
          <w:tcPr>
            <w:tcW w:type="dxa" w:w="1080"/>
          </w:tcPr>
          <w:p>
            <w:r>
              <w:rPr>
                <w:rFonts w:ascii="Calibri" w:hAnsi="Calibri"/>
                <w:sz w:val="22"/>
              </w:rPr>
              <w:t>0.0%</w:t>
            </w:r>
          </w:p>
        </w:tc>
        <w:tc>
          <w:tcPr>
            <w:tcW w:type="dxa" w:w="1080"/>
          </w:tcPr>
          <w:p>
            <w:r>
              <w:rPr>
                <w:rFonts w:ascii="Calibri" w:hAnsi="Calibri"/>
                <w:sz w:val="22"/>
              </w:rPr>
              <w:t>$1.24</w:t>
            </w:r>
          </w:p>
        </w:tc>
        <w:tc>
          <w:tcPr>
            <w:tcW w:type="dxa" w:w="1080"/>
          </w:tcPr>
          <w:p>
            <w:r>
              <w:rPr>
                <w:rFonts w:ascii="Calibri" w:hAnsi="Calibri"/>
                <w:sz w:val="22"/>
              </w:rPr>
              <w:t>$1.21</w:t>
            </w:r>
          </w:p>
        </w:tc>
        <w:tc>
          <w:tcPr>
            <w:tcW w:type="dxa" w:w="1080"/>
          </w:tcPr>
          <w:p>
            <w:r>
              <w:rPr>
                <w:rFonts w:ascii="Calibri" w:hAnsi="Calibri"/>
                <w:b/>
                <w:color w:val="30A46C"/>
                <w:sz w:val="22"/>
              </w:rPr>
              <w:t>+2.5%</w:t>
            </w:r>
          </w:p>
        </w:tc>
        <w:tc>
          <w:tcPr>
            <w:tcW w:type="dxa" w:w="1080"/>
          </w:tcPr>
          <w:p>
            <w:r>
              <w:rPr>
                <w:rFonts w:ascii="Calibri" w:hAnsi="Calibri"/>
                <w:sz w:val="22"/>
              </w:rPr>
              <w:t>In-Line / EPS Beat</w:t>
            </w:r>
          </w:p>
        </w:tc>
      </w:tr>
      <w:tr>
        <w:tc>
          <w:tcPr>
            <w:tcW w:type="dxa" w:w="1080"/>
          </w:tcPr>
          <w:p>
            <w:r>
              <w:rPr>
                <w:rFonts w:ascii="Calibri" w:hAnsi="Calibri"/>
                <w:sz w:val="22"/>
              </w:rPr>
              <w:t>Q3 FY2025</w:t>
            </w:r>
          </w:p>
        </w:tc>
        <w:tc>
          <w:tcPr>
            <w:tcW w:type="dxa" w:w="1080"/>
          </w:tcPr>
          <w:p>
            <w:r>
              <w:rPr>
                <w:rFonts w:ascii="Calibri" w:hAnsi="Calibri"/>
                <w:sz w:val="22"/>
              </w:rPr>
              <w:t>$965.0</w:t>
            </w:r>
          </w:p>
        </w:tc>
        <w:tc>
          <w:tcPr>
            <w:tcW w:type="dxa" w:w="1080"/>
          </w:tcPr>
          <w:p>
            <w:r>
              <w:rPr>
                <w:rFonts w:ascii="Calibri" w:hAnsi="Calibri"/>
                <w:sz w:val="22"/>
              </w:rPr>
              <w:t>$940.8</w:t>
            </w:r>
          </w:p>
        </w:tc>
        <w:tc>
          <w:tcPr>
            <w:tcW w:type="dxa" w:w="1080"/>
          </w:tcPr>
          <w:p>
            <w:r>
              <w:rPr>
                <w:rFonts w:ascii="Calibri" w:hAnsi="Calibri"/>
                <w:b/>
                <w:color w:val="30A46C"/>
                <w:sz w:val="22"/>
              </w:rPr>
              <w:t>+2.6%</w:t>
            </w:r>
          </w:p>
        </w:tc>
        <w:tc>
          <w:tcPr>
            <w:tcW w:type="dxa" w:w="1080"/>
          </w:tcPr>
          <w:p>
            <w:r>
              <w:rPr>
                <w:rFonts w:ascii="Calibri" w:hAnsi="Calibri"/>
                <w:sz w:val="22"/>
              </w:rPr>
              <w:t>$1.33</w:t>
            </w:r>
          </w:p>
        </w:tc>
        <w:tc>
          <w:tcPr>
            <w:tcW w:type="dxa" w:w="1080"/>
          </w:tcPr>
          <w:p>
            <w:r>
              <w:rPr>
                <w:rFonts w:ascii="Calibri" w:hAnsi="Calibri"/>
                <w:sz w:val="22"/>
              </w:rPr>
              <w:t>$1.24</w:t>
            </w:r>
          </w:p>
        </w:tc>
        <w:tc>
          <w:tcPr>
            <w:tcW w:type="dxa" w:w="1080"/>
          </w:tcPr>
          <w:p>
            <w:r>
              <w:rPr>
                <w:rFonts w:ascii="Calibri" w:hAnsi="Calibri"/>
                <w:b/>
                <w:color w:val="30A46C"/>
                <w:sz w:val="22"/>
              </w:rPr>
              <w:t>+7.3%</w:t>
            </w:r>
          </w:p>
        </w:tc>
        <w:tc>
          <w:tcPr>
            <w:tcW w:type="dxa" w:w="1080"/>
          </w:tcPr>
          <w:p>
            <w:r>
              <w:rPr>
                <w:rFonts w:ascii="Calibri" w:hAnsi="Calibri"/>
                <w:sz w:val="22"/>
              </w:rPr>
              <w:t>Beat</w:t>
            </w:r>
          </w:p>
        </w:tc>
      </w:tr>
      <w:tr>
        <w:tc>
          <w:tcPr>
            <w:tcW w:type="dxa" w:w="1080"/>
          </w:tcPr>
          <w:p>
            <w:r>
              <w:rPr>
                <w:rFonts w:ascii="Calibri" w:hAnsi="Calibri"/>
                <w:sz w:val="22"/>
              </w:rPr>
              <w:t>Q4 FY2025</w:t>
            </w:r>
          </w:p>
        </w:tc>
        <w:tc>
          <w:tcPr>
            <w:tcW w:type="dxa" w:w="1080"/>
          </w:tcPr>
          <w:p>
            <w:r>
              <w:rPr>
                <w:rFonts w:ascii="Calibri" w:hAnsi="Calibri"/>
                <w:sz w:val="22"/>
              </w:rPr>
              <w:t>$1,100.2</w:t>
            </w:r>
          </w:p>
        </w:tc>
        <w:tc>
          <w:tcPr>
            <w:tcW w:type="dxa" w:w="1080"/>
          </w:tcPr>
          <w:p>
            <w:r>
              <w:rPr>
                <w:rFonts w:ascii="Calibri" w:hAnsi="Calibri"/>
                <w:sz w:val="22"/>
              </w:rPr>
              <w:t>$1,043.9</w:t>
            </w:r>
          </w:p>
        </w:tc>
        <w:tc>
          <w:tcPr>
            <w:tcW w:type="dxa" w:w="1080"/>
          </w:tcPr>
          <w:p>
            <w:r>
              <w:rPr>
                <w:rFonts w:ascii="Calibri" w:hAnsi="Calibri"/>
                <w:b/>
                <w:color w:val="30A46C"/>
                <w:sz w:val="22"/>
              </w:rPr>
              <w:t>+5.4%</w:t>
            </w:r>
          </w:p>
        </w:tc>
        <w:tc>
          <w:tcPr>
            <w:tcW w:type="dxa" w:w="1080"/>
          </w:tcPr>
          <w:p>
            <w:r>
              <w:rPr>
                <w:rFonts w:ascii="Calibri" w:hAnsi="Calibri"/>
                <w:sz w:val="22"/>
              </w:rPr>
              <w:t>$1.76</w:t>
            </w:r>
          </w:p>
        </w:tc>
        <w:tc>
          <w:tcPr>
            <w:tcW w:type="dxa" w:w="1080"/>
          </w:tcPr>
          <w:p>
            <w:r>
              <w:rPr>
                <w:rFonts w:ascii="Calibri" w:hAnsi="Calibri"/>
                <w:sz w:val="22"/>
              </w:rPr>
              <w:t>$1.52</w:t>
            </w:r>
          </w:p>
        </w:tc>
        <w:tc>
          <w:tcPr>
            <w:tcW w:type="dxa" w:w="1080"/>
          </w:tcPr>
          <w:p>
            <w:r>
              <w:rPr>
                <w:rFonts w:ascii="Calibri" w:hAnsi="Calibri"/>
                <w:b/>
                <w:color w:val="30A46C"/>
                <w:sz w:val="22"/>
              </w:rPr>
              <w:t>+15.8%</w:t>
            </w:r>
          </w:p>
        </w:tc>
        <w:tc>
          <w:tcPr>
            <w:tcW w:type="dxa" w:w="1080"/>
          </w:tcPr>
          <w:p>
            <w:r>
              <w:rPr>
                <w:rFonts w:ascii="Calibri" w:hAnsi="Calibri"/>
                <w:sz w:val="22"/>
              </w:rPr>
              <w:t>Strong Beat</w:t>
            </w:r>
          </w:p>
        </w:tc>
      </w:tr>
      <w:tr>
        <w:tc>
          <w:tcPr>
            <w:tcW w:type="dxa" w:w="1080"/>
          </w:tcPr>
          <w:p>
            <w:r>
              <w:rPr>
                <w:rFonts w:ascii="Calibri" w:hAnsi="Calibri"/>
                <w:sz w:val="22"/>
              </w:rPr>
              <w:t>Q1 FY2026</w:t>
            </w:r>
          </w:p>
        </w:tc>
        <w:tc>
          <w:tcPr>
            <w:tcW w:type="dxa" w:w="1080"/>
          </w:tcPr>
          <w:p>
            <w:r>
              <w:rPr>
                <w:rFonts w:ascii="Calibri" w:hAnsi="Calibri"/>
                <w:sz w:val="22"/>
              </w:rPr>
              <w:t>$1,035.4</w:t>
            </w:r>
          </w:p>
        </w:tc>
        <w:tc>
          <w:tcPr>
            <w:tcW w:type="dxa" w:w="1080"/>
          </w:tcPr>
          <w:p>
            <w:r>
              <w:rPr>
                <w:rFonts w:ascii="Calibri" w:hAnsi="Calibri"/>
                <w:sz w:val="22"/>
              </w:rPr>
              <w:t>$1,001.3</w:t>
            </w:r>
          </w:p>
        </w:tc>
        <w:tc>
          <w:tcPr>
            <w:tcW w:type="dxa" w:w="1080"/>
          </w:tcPr>
          <w:p>
            <w:r>
              <w:rPr>
                <w:rFonts w:ascii="Calibri" w:hAnsi="Calibri"/>
                <w:b/>
                <w:color w:val="30A46C"/>
                <w:sz w:val="22"/>
              </w:rPr>
              <w:t>+3.4%</w:t>
            </w:r>
          </w:p>
        </w:tc>
        <w:tc>
          <w:tcPr>
            <w:tcW w:type="dxa" w:w="1080"/>
          </w:tcPr>
          <w:p>
            <w:r>
              <w:rPr>
                <w:rFonts w:ascii="Calibri" w:hAnsi="Calibri"/>
                <w:sz w:val="22"/>
              </w:rPr>
              <w:t>$1.54</w:t>
            </w:r>
          </w:p>
        </w:tc>
        <w:tc>
          <w:tcPr>
            <w:tcW w:type="dxa" w:w="1080"/>
          </w:tcPr>
          <w:p>
            <w:r>
              <w:rPr>
                <w:rFonts w:ascii="Calibri" w:hAnsi="Calibri"/>
                <w:sz w:val="22"/>
              </w:rPr>
              <w:t>$1.40</w:t>
            </w:r>
          </w:p>
        </w:tc>
        <w:tc>
          <w:tcPr>
            <w:tcW w:type="dxa" w:w="1080"/>
          </w:tcPr>
          <w:p>
            <w:r>
              <w:rPr>
                <w:rFonts w:ascii="Calibri" w:hAnsi="Calibri"/>
                <w:b/>
                <w:color w:val="30A46C"/>
                <w:sz w:val="22"/>
              </w:rPr>
              <w:t>+10.0%</w:t>
            </w:r>
          </w:p>
        </w:tc>
        <w:tc>
          <w:tcPr>
            <w:tcW w:type="dxa" w:w="1080"/>
          </w:tcPr>
          <w:p>
            <w:r>
              <w:rPr>
                <w:rFonts w:ascii="Calibri" w:hAnsi="Calibri"/>
                <w:sz w:val="22"/>
              </w:rPr>
              <w:t>Beat</w:t>
            </w:r>
          </w:p>
        </w:tc>
      </w:tr>
      <w:tr>
        <w:tc>
          <w:tcPr>
            <w:tcW w:type="dxa" w:w="1080"/>
          </w:tcPr>
          <w:p>
            <w:r>
              <w:rPr>
                <w:rFonts w:ascii="Calibri" w:hAnsi="Calibri"/>
                <w:sz w:val="22"/>
              </w:rPr>
              <w:t>Q2 FY2026</w:t>
            </w:r>
          </w:p>
        </w:tc>
        <w:tc>
          <w:tcPr>
            <w:tcW w:type="dxa" w:w="1080"/>
          </w:tcPr>
          <w:p>
            <w:r>
              <w:rPr>
                <w:rFonts w:ascii="Calibri" w:hAnsi="Calibri"/>
                <w:sz w:val="22"/>
              </w:rPr>
              <w:t>$943.7</w:t>
            </w:r>
          </w:p>
        </w:tc>
        <w:tc>
          <w:tcPr>
            <w:tcW w:type="dxa" w:w="1080"/>
          </w:tcPr>
          <w:p>
            <w:r>
              <w:rPr>
                <w:rFonts w:ascii="Calibri" w:hAnsi="Calibri"/>
                <w:sz w:val="22"/>
              </w:rPr>
              <w:t>$902.2</w:t>
            </w:r>
          </w:p>
        </w:tc>
        <w:tc>
          <w:tcPr>
            <w:tcW w:type="dxa" w:w="1080"/>
          </w:tcPr>
          <w:p>
            <w:r>
              <w:rPr>
                <w:rFonts w:ascii="Calibri" w:hAnsi="Calibri"/>
                <w:b/>
                <w:color w:val="30A46C"/>
                <w:sz w:val="22"/>
              </w:rPr>
              <w:t>+4.6%</w:t>
            </w:r>
          </w:p>
        </w:tc>
        <w:tc>
          <w:tcPr>
            <w:tcW w:type="dxa" w:w="1080"/>
          </w:tcPr>
          <w:p>
            <w:r>
              <w:rPr>
                <w:rFonts w:ascii="Calibri" w:hAnsi="Calibri"/>
                <w:sz w:val="22"/>
              </w:rPr>
              <w:t>$1.15</w:t>
            </w:r>
          </w:p>
        </w:tc>
        <w:tc>
          <w:tcPr>
            <w:tcW w:type="dxa" w:w="1080"/>
          </w:tcPr>
          <w:p>
            <w:r>
              <w:rPr>
                <w:rFonts w:ascii="Calibri" w:hAnsi="Calibri"/>
                <w:sz w:val="22"/>
              </w:rPr>
              <w:t>$1.05</w:t>
            </w:r>
          </w:p>
        </w:tc>
        <w:tc>
          <w:tcPr>
            <w:tcW w:type="dxa" w:w="1080"/>
          </w:tcPr>
          <w:p>
            <w:r>
              <w:rPr>
                <w:rFonts w:ascii="Calibri" w:hAnsi="Calibri"/>
                <w:b/>
                <w:color w:val="30A46C"/>
                <w:sz w:val="22"/>
              </w:rPr>
              <w:t>+9.5%</w:t>
            </w:r>
          </w:p>
        </w:tc>
        <w:tc>
          <w:tcPr>
            <w:tcW w:type="dxa" w:w="108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SWKS has beaten revenue consensus in all 8 of the last 8 quarters and beaten EPS consensus in 7 of 8, with the magnitude of beats accelerating in recent quarters — a consistent track record that sets a high implicit bar even when guidance appears conservative.</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May 5 earnings call — no post-earnings 8-K or conference update has altered the Q3 outlook — but management's tone was notably constructive, citing book-to-bill above 1, lean channel inventories, and increasing optimism on the Qorvo merger timeline.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5,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Revenue (Q3 FY2026)</w:t>
            </w:r>
          </w:p>
        </w:tc>
        <w:tc>
          <w:tcPr>
            <w:tcW w:type="dxa" w:w="1728"/>
          </w:tcPr>
          <w:p>
            <w:r>
              <w:rPr>
                <w:rFonts w:ascii="Calibri" w:hAnsi="Calibri"/>
                <w:sz w:val="22"/>
              </w:rPr>
              <w:t>$900M – $950M (mid: $925M)</w:t>
            </w:r>
          </w:p>
        </w:tc>
        <w:tc>
          <w:tcPr>
            <w:tcW w:type="dxa" w:w="1728"/>
          </w:tcPr>
          <w:p>
            <w:r>
              <w:rPr>
                <w:rFonts w:ascii="Calibri" w:hAnsi="Calibri"/>
                <w:sz w:val="22"/>
              </w:rPr>
              <w:t>—</w:t>
            </w:r>
          </w:p>
        </w:tc>
        <w:tc>
          <w:tcPr>
            <w:tcW w:type="dxa" w:w="1728"/>
          </w:tcPr>
          <w:p>
            <w:r>
              <w:rPr>
                <w:rFonts w:ascii="Calibri" w:hAnsi="Calibri"/>
                <w:sz w:val="22"/>
              </w:rPr>
              <w:t>$926.1M</w:t>
            </w:r>
          </w:p>
        </w:tc>
        <w:tc>
          <w:tcPr>
            <w:tcW w:type="dxa" w:w="1728"/>
          </w:tcPr>
          <w:p>
            <w:r>
              <w:rPr>
                <w:rFonts w:ascii="Calibri" w:hAnsi="Calibri"/>
                <w:sz w:val="22"/>
              </w:rPr>
              <w:t>Unchanged; consensus tracking midpoint closely</w:t>
            </w:r>
          </w:p>
        </w:tc>
      </w:tr>
      <w:tr>
        <w:tc>
          <w:tcPr>
            <w:tcW w:type="dxa" w:w="1728"/>
          </w:tcPr>
          <w:p>
            <w:r>
              <w:rPr>
                <w:rFonts w:ascii="Calibri" w:hAnsi="Calibri"/>
                <w:sz w:val="22"/>
              </w:rPr>
              <w:t>Gross Margin (Q3 FY2026)</w:t>
            </w:r>
          </w:p>
        </w:tc>
        <w:tc>
          <w:tcPr>
            <w:tcW w:type="dxa" w:w="1728"/>
          </w:tcPr>
          <w:p>
            <w:r>
              <w:rPr>
                <w:rFonts w:ascii="Calibri" w:hAnsi="Calibri"/>
                <w:sz w:val="22"/>
              </w:rPr>
              <w:t>~44.5% – 45.5% (flat seq.)</w:t>
            </w:r>
          </w:p>
        </w:tc>
        <w:tc>
          <w:tcPr>
            <w:tcW w:type="dxa" w:w="1728"/>
          </w:tcPr>
          <w:p>
            <w:r>
              <w:rPr>
                <w:rFonts w:ascii="Calibri" w:hAnsi="Calibri"/>
                <w:sz w:val="22"/>
              </w:rPr>
              <w:t>—</w:t>
            </w:r>
          </w:p>
        </w:tc>
        <w:tc>
          <w:tcPr>
            <w:tcW w:type="dxa" w:w="1728"/>
          </w:tcPr>
          <w:p>
            <w:r>
              <w:rPr>
                <w:rFonts w:ascii="Calibri" w:hAnsi="Calibri"/>
                <w:sz w:val="22"/>
              </w:rPr>
              <w:t>~45.0% (implied by GP consensus)</w:t>
            </w:r>
          </w:p>
        </w:tc>
        <w:tc>
          <w:tcPr>
            <w:tcW w:type="dxa" w:w="1728"/>
          </w:tcPr>
          <w:p>
            <w:r>
              <w:rPr>
                <w:rFonts w:ascii="Calibri" w:hAnsi="Calibri"/>
                <w:sz w:val="22"/>
              </w:rPr>
              <w:t>Unchanged; input cost headwinds (gold, expedite fees) flagged as modest drag; selective price increases partially offsetting</w:t>
            </w:r>
          </w:p>
        </w:tc>
      </w:tr>
      <w:tr>
        <w:tc>
          <w:tcPr>
            <w:tcW w:type="dxa" w:w="1728"/>
          </w:tcPr>
          <w:p>
            <w:r>
              <w:rPr>
                <w:rFonts w:ascii="Calibri" w:hAnsi="Calibri"/>
                <w:sz w:val="22"/>
              </w:rPr>
              <w:t>Operating Expenses (Q3 FY2026)</w:t>
            </w:r>
          </w:p>
        </w:tc>
        <w:tc>
          <w:tcPr>
            <w:tcW w:type="dxa" w:w="1728"/>
          </w:tcPr>
          <w:p>
            <w:r>
              <w:rPr>
                <w:rFonts w:ascii="Calibri" w:hAnsi="Calibri"/>
                <w:sz w:val="22"/>
              </w:rPr>
              <w:t>$235M – $245M</w:t>
            </w:r>
          </w:p>
        </w:tc>
        <w:tc>
          <w:tcPr>
            <w:tcW w:type="dxa" w:w="1728"/>
          </w:tcPr>
          <w:p>
            <w:r>
              <w:rPr>
                <w:rFonts w:ascii="Calibri" w:hAnsi="Calibri"/>
                <w:sz w:val="22"/>
              </w:rPr>
              <w:t>—</w:t>
            </w:r>
          </w:p>
        </w:tc>
        <w:tc>
          <w:tcPr>
            <w:tcW w:type="dxa" w:w="1728"/>
          </w:tcPr>
          <w:p>
            <w:r>
              <w:rPr>
                <w:rFonts w:ascii="Calibri" w:hAnsi="Calibri"/>
                <w:sz w:val="22"/>
              </w:rPr>
              <w:t>~$240M (implied)</w:t>
            </w:r>
          </w:p>
        </w:tc>
        <w:tc>
          <w:tcPr>
            <w:tcW w:type="dxa" w:w="1728"/>
          </w:tcPr>
          <w:p>
            <w:r>
              <w:rPr>
                <w:rFonts w:ascii="Calibri" w:hAnsi="Calibri"/>
                <w:sz w:val="22"/>
              </w:rPr>
              <w:t>Unchanged; tight discretionary spending maintained</w:t>
            </w:r>
          </w:p>
        </w:tc>
      </w:tr>
      <w:tr>
        <w:tc>
          <w:tcPr>
            <w:tcW w:type="dxa" w:w="1728"/>
          </w:tcPr>
          <w:p>
            <w:r>
              <w:rPr>
                <w:rFonts w:ascii="Calibri" w:hAnsi="Calibri"/>
                <w:sz w:val="22"/>
              </w:rPr>
              <w:t>EPS – Diluted Operating (Q3 FY2026)</w:t>
            </w:r>
          </w:p>
        </w:tc>
        <w:tc>
          <w:tcPr>
            <w:tcW w:type="dxa" w:w="1728"/>
          </w:tcPr>
          <w:p>
            <w:r>
              <w:rPr>
                <w:rFonts w:ascii="Calibri" w:hAnsi="Calibri"/>
                <w:sz w:val="22"/>
              </w:rPr>
              <w:t>$1.03 (at revenue midpoint)</w:t>
            </w:r>
          </w:p>
        </w:tc>
        <w:tc>
          <w:tcPr>
            <w:tcW w:type="dxa" w:w="1728"/>
          </w:tcPr>
          <w:p>
            <w:r>
              <w:rPr>
                <w:rFonts w:ascii="Calibri" w:hAnsi="Calibri"/>
                <w:sz w:val="22"/>
              </w:rPr>
              <w:t>—</w:t>
            </w:r>
          </w:p>
        </w:tc>
        <w:tc>
          <w:tcPr>
            <w:tcW w:type="dxa" w:w="1728"/>
          </w:tcPr>
          <w:p>
            <w:r>
              <w:rPr>
                <w:rFonts w:ascii="Calibri" w:hAnsi="Calibri"/>
                <w:sz w:val="22"/>
              </w:rPr>
              <w:t>$1.04</w:t>
            </w:r>
          </w:p>
        </w:tc>
        <w:tc>
          <w:tcPr>
            <w:tcW w:type="dxa" w:w="1728"/>
          </w:tcPr>
          <w:p>
            <w:r>
              <w:rPr>
                <w:rFonts w:ascii="Calibri" w:hAnsi="Calibri"/>
                <w:sz w:val="22"/>
              </w:rPr>
              <w:t>Unchanged; consensus 1% above guidance midpoint</w:t>
            </w:r>
          </w:p>
        </w:tc>
      </w:tr>
      <w:tr>
        <w:tc>
          <w:tcPr>
            <w:tcW w:type="dxa" w:w="1728"/>
          </w:tcPr>
          <w:p>
            <w:r>
              <w:rPr>
                <w:rFonts w:ascii="Calibri" w:hAnsi="Calibri"/>
                <w:sz w:val="22"/>
              </w:rPr>
              <w:t>Mobile Revenue (Q3 FY2026)</w:t>
            </w:r>
          </w:p>
        </w:tc>
        <w:tc>
          <w:tcPr>
            <w:tcW w:type="dxa" w:w="1728"/>
          </w:tcPr>
          <w:p>
            <w:r>
              <w:rPr>
                <w:rFonts w:ascii="Calibri" w:hAnsi="Calibri"/>
                <w:sz w:val="22"/>
              </w:rPr>
              <w:t>Low single-digit decline sequentially (normal seasonality)</w:t>
            </w:r>
          </w:p>
        </w:tc>
        <w:tc>
          <w:tcPr>
            <w:tcW w:type="dxa" w:w="1728"/>
          </w:tcPr>
          <w:p>
            <w:r>
              <w:rPr>
                <w:rFonts w:ascii="Calibri" w:hAnsi="Calibri"/>
                <w:sz w:val="22"/>
              </w:rPr>
              <w:t>—</w:t>
            </w:r>
          </w:p>
        </w:tc>
        <w:tc>
          <w:tcPr>
            <w:tcW w:type="dxa" w:w="1728"/>
          </w:tcPr>
          <w:p>
            <w:r>
              <w:rPr>
                <w:rFonts w:ascii="Calibri" w:hAnsi="Calibri"/>
                <w:sz w:val="22"/>
              </w:rPr>
              <w:t>$525.6M (vs. $547.3M in Q2)</w:t>
            </w:r>
          </w:p>
        </w:tc>
        <w:tc>
          <w:tcPr>
            <w:tcW w:type="dxa" w:w="1728"/>
          </w:tcPr>
          <w:p>
            <w:r>
              <w:rPr>
                <w:rFonts w:ascii="Calibri" w:hAnsi="Calibri"/>
                <w:sz w:val="22"/>
              </w:rPr>
              <w:t>Unchanged; consistent with seasonal pattern</w:t>
            </w:r>
          </w:p>
        </w:tc>
      </w:tr>
      <w:tr>
        <w:tc>
          <w:tcPr>
            <w:tcW w:type="dxa" w:w="1728"/>
          </w:tcPr>
          <w:p>
            <w:r>
              <w:rPr>
                <w:rFonts w:ascii="Calibri" w:hAnsi="Calibri"/>
                <w:sz w:val="22"/>
              </w:rPr>
              <w:t>Broad Markets Revenue (Q3 FY2026)</w:t>
            </w:r>
          </w:p>
        </w:tc>
        <w:tc>
          <w:tcPr>
            <w:tcW w:type="dxa" w:w="1728"/>
          </w:tcPr>
          <w:p>
            <w:r>
              <w:rPr>
                <w:rFonts w:ascii="Calibri" w:hAnsi="Calibri"/>
                <w:sz w:val="22"/>
              </w:rPr>
              <w:t>Up modestly seq.; 43% of sales; +HSD YoY</w:t>
            </w:r>
          </w:p>
        </w:tc>
        <w:tc>
          <w:tcPr>
            <w:tcW w:type="dxa" w:w="1728"/>
          </w:tcPr>
          <w:p>
            <w:r>
              <w:rPr>
                <w:rFonts w:ascii="Calibri" w:hAnsi="Calibri"/>
                <w:sz w:val="22"/>
              </w:rPr>
              <w:t>—</w:t>
            </w:r>
          </w:p>
        </w:tc>
        <w:tc>
          <w:tcPr>
            <w:tcW w:type="dxa" w:w="1728"/>
          </w:tcPr>
          <w:p>
            <w:r>
              <w:rPr>
                <w:rFonts w:ascii="Calibri" w:hAnsi="Calibri"/>
                <w:sz w:val="22"/>
              </w:rPr>
              <w:t>$400.5M (vs. $396.4M in Q2)</w:t>
            </w:r>
          </w:p>
        </w:tc>
        <w:tc>
          <w:tcPr>
            <w:tcW w:type="dxa" w:w="1728"/>
          </w:tcPr>
          <w:p>
            <w:r>
              <w:rPr>
                <w:rFonts w:ascii="Calibri" w:hAnsi="Calibri"/>
                <w:sz w:val="22"/>
              </w:rPr>
              <w:t>Unchanged; 10th consecutive quarter of growth expected</w:t>
            </w:r>
          </w:p>
        </w:tc>
      </w:tr>
      <w:tr>
        <w:tc>
          <w:tcPr>
            <w:tcW w:type="dxa" w:w="1728"/>
          </w:tcPr>
          <w:p>
            <w:r>
              <w:rPr>
                <w:rFonts w:ascii="Calibri" w:hAnsi="Calibri"/>
                <w:sz w:val="22"/>
              </w:rPr>
              <w:t>Qorvo Merger Close</w:t>
            </w:r>
          </w:p>
        </w:tc>
        <w:tc>
          <w:tcPr>
            <w:tcW w:type="dxa" w:w="1728"/>
          </w:tcPr>
          <w:p>
            <w:r>
              <w:rPr>
                <w:rFonts w:ascii="Calibri" w:hAnsi="Calibri"/>
                <w:sz w:val="22"/>
              </w:rPr>
              <w:t>Formal guidance: early calendar 2027; 'increasingly hopeful' for late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Phase 2 China SAMR review ongoing; June 11 debt exchange early participation results filed (8-K)</w:t>
            </w:r>
          </w:p>
        </w:tc>
      </w:tr>
      <w:tr>
        <w:tc>
          <w:tcPr>
            <w:tcW w:type="dxa" w:w="1728"/>
          </w:tcPr>
          <w:p>
            <w:r>
              <w:rPr>
                <w:rFonts w:ascii="Calibri" w:hAnsi="Calibri"/>
                <w:sz w:val="22"/>
              </w:rPr>
              <w:t>Long-Term Gross Margin (Post-Merger)</w:t>
            </w:r>
          </w:p>
        </w:tc>
        <w:tc>
          <w:tcPr>
            <w:tcW w:type="dxa" w:w="1728"/>
          </w:tcPr>
          <w:p>
            <w:r>
              <w:rPr>
                <w:rFonts w:ascii="Calibri" w:hAnsi="Calibri"/>
                <w:sz w:val="22"/>
              </w:rPr>
              <w:t>50% – 55% (combined entity)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reaffirmed on May 5 call</w:t>
            </w:r>
          </w:p>
        </w:tc>
      </w:tr>
    </w:tbl>
    <w:p>
      <w:r>
        <w:rPr>
          <w:rFonts w:ascii="Calibri" w:hAnsi="Calibri"/>
          <w:i/>
          <w:color w:val="525866"/>
          <w:sz w:val="22"/>
        </w:rPr>
        <w:t>Source: SWKS Q2 FY2026 Earnings Call transcript (May 5, 2026); SWKS 8-K filings (June 11,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Q3 FY2026 have been essentially flat since the post-earnings baseline (May 12, 2026), with revenue consensus up a negligible +0.1% and EPS up +0.4% — the Street is tracking guidance rather than building in upside, which keeps the bar low and preserves beat potential if demand holds.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12, 2026 — Post-Earnings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Q3 FY2026</w:t>
            </w:r>
          </w:p>
        </w:tc>
        <w:tc>
          <w:tcPr>
            <w:tcW w:type="dxa" w:w="1080"/>
          </w:tcPr>
          <w:p>
            <w:r>
              <w:rPr>
                <w:rFonts w:ascii="Calibri" w:hAnsi="Calibri"/>
                <w:sz w:val="22"/>
              </w:rPr>
              <w:t>$926.1M</w:t>
            </w:r>
          </w:p>
        </w:tc>
        <w:tc>
          <w:tcPr>
            <w:tcW w:type="dxa" w:w="1080"/>
          </w:tcPr>
          <w:p>
            <w:r>
              <w:rPr>
                <w:rFonts w:ascii="Calibri" w:hAnsi="Calibri"/>
                <w:sz w:val="22"/>
              </w:rPr>
              <w:t>$926.1M</w:t>
            </w:r>
          </w:p>
        </w:tc>
        <w:tc>
          <w:tcPr>
            <w:tcW w:type="dxa" w:w="1080"/>
          </w:tcPr>
          <w:p>
            <w:r>
              <w:rPr>
                <w:rFonts w:ascii="Calibri" w:hAnsi="Calibri"/>
                <w:sz w:val="22"/>
              </w:rPr>
              <w:t>0.0%</w:t>
            </w:r>
          </w:p>
        </w:tc>
        <w:tc>
          <w:tcPr>
            <w:tcW w:type="dxa" w:w="1080"/>
          </w:tcPr>
          <w:p>
            <w:r>
              <w:rPr>
                <w:rFonts w:ascii="Calibri" w:hAnsi="Calibri"/>
                <w:sz w:val="22"/>
              </w:rPr>
              <w:t>$900–$950M (mid $925M)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w:t>
            </w:r>
          </w:p>
        </w:tc>
      </w:tr>
      <w:tr>
        <w:tc>
          <w:tcPr>
            <w:tcW w:type="dxa" w:w="1080"/>
          </w:tcPr>
          <w:p>
            <w:r>
              <w:rPr>
                <w:rFonts w:ascii="Calibri" w:hAnsi="Calibri"/>
                <w:sz w:val="22"/>
              </w:rPr>
              <w:t>EPS – Diluted Operating — Q3 FY2026</w:t>
            </w:r>
          </w:p>
        </w:tc>
        <w:tc>
          <w:tcPr>
            <w:tcW w:type="dxa" w:w="1080"/>
          </w:tcPr>
          <w:p>
            <w:r>
              <w:rPr>
                <w:rFonts w:ascii="Calibri" w:hAnsi="Calibri"/>
                <w:sz w:val="22"/>
              </w:rPr>
              <w:t>$1.036</w:t>
            </w:r>
          </w:p>
        </w:tc>
        <w:tc>
          <w:tcPr>
            <w:tcW w:type="dxa" w:w="1080"/>
          </w:tcPr>
          <w:p>
            <w:r>
              <w:rPr>
                <w:rFonts w:ascii="Calibri" w:hAnsi="Calibri"/>
                <w:sz w:val="22"/>
              </w:rPr>
              <w:t>$1.036</w:t>
            </w:r>
          </w:p>
        </w:tc>
        <w:tc>
          <w:tcPr>
            <w:tcW w:type="dxa" w:w="1080"/>
          </w:tcPr>
          <w:p>
            <w:r>
              <w:rPr>
                <w:rFonts w:ascii="Calibri" w:hAnsi="Calibri"/>
                <w:sz w:val="22"/>
              </w:rPr>
              <w:t>0.0%</w:t>
            </w:r>
          </w:p>
        </w:tc>
        <w:tc>
          <w:tcPr>
            <w:tcW w:type="dxa" w:w="1080"/>
          </w:tcPr>
          <w:p>
            <w:r>
              <w:rPr>
                <w:rFonts w:ascii="Calibri" w:hAnsi="Calibri"/>
                <w:sz w:val="22"/>
              </w:rPr>
              <w:t>$1.03 (at rev.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vs. guidance</w:t>
            </w:r>
          </w:p>
        </w:tc>
      </w:tr>
      <w:tr>
        <w:tc>
          <w:tcPr>
            <w:tcW w:type="dxa" w:w="1080"/>
          </w:tcPr>
          <w:p>
            <w:r>
              <w:rPr>
                <w:rFonts w:ascii="Calibri" w:hAnsi="Calibri"/>
                <w:sz w:val="22"/>
              </w:rPr>
              <w:t>Net Revenue — FY2026</w:t>
            </w:r>
          </w:p>
        </w:tc>
        <w:tc>
          <w:tcPr>
            <w:tcW w:type="dxa" w:w="1080"/>
          </w:tcPr>
          <w:p>
            <w:r>
              <w:rPr>
                <w:rFonts w:ascii="Calibri" w:hAnsi="Calibri"/>
                <w:sz w:val="22"/>
              </w:rPr>
              <w:t>$3,933.0M</w:t>
            </w:r>
          </w:p>
        </w:tc>
        <w:tc>
          <w:tcPr>
            <w:tcW w:type="dxa" w:w="1080"/>
          </w:tcPr>
          <w:p>
            <w:r>
              <w:rPr>
                <w:rFonts w:ascii="Calibri" w:hAnsi="Calibri"/>
                <w:sz w:val="22"/>
              </w:rPr>
              <w:t>$3,932.0M</w:t>
            </w:r>
          </w:p>
        </w:tc>
        <w:tc>
          <w:tcPr>
            <w:tcW w:type="dxa" w:w="1080"/>
          </w:tcPr>
          <w:p>
            <w:r>
              <w:rPr>
                <w:rFonts w:ascii="Calibri" w:hAnsi="Calibri"/>
                <w:sz w:val="22"/>
              </w:rPr>
              <w:t>−0.0%</w:t>
            </w:r>
          </w:p>
        </w:tc>
        <w:tc>
          <w:tcPr>
            <w:tcW w:type="dxa" w:w="1080"/>
          </w:tcPr>
          <w:p>
            <w:r>
              <w:rPr>
                <w:rFonts w:ascii="Calibri" w:hAnsi="Calibri"/>
                <w:sz w:val="22"/>
              </w:rPr>
              <w:t>N/A (full-year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 FY2026</w:t>
            </w:r>
          </w:p>
        </w:tc>
        <w:tc>
          <w:tcPr>
            <w:tcW w:type="dxa" w:w="1080"/>
          </w:tcPr>
          <w:p>
            <w:r>
              <w:rPr>
                <w:rFonts w:ascii="Calibri" w:hAnsi="Calibri"/>
                <w:sz w:val="22"/>
              </w:rPr>
              <w:t>$4.956</w:t>
            </w:r>
          </w:p>
        </w:tc>
        <w:tc>
          <w:tcPr>
            <w:tcW w:type="dxa" w:w="1080"/>
          </w:tcPr>
          <w:p>
            <w:r>
              <w:rPr>
                <w:rFonts w:ascii="Calibri" w:hAnsi="Calibri"/>
                <w:sz w:val="22"/>
              </w:rPr>
              <w:t>$4.953</w:t>
            </w:r>
          </w:p>
        </w:tc>
        <w:tc>
          <w:tcPr>
            <w:tcW w:type="dxa" w:w="1080"/>
          </w:tcPr>
          <w:p>
            <w:r>
              <w:rPr>
                <w:rFonts w:ascii="Calibri" w:hAnsi="Calibri"/>
                <w:sz w:val="22"/>
              </w:rPr>
              <w:t>−0.1%</w:t>
            </w:r>
          </w:p>
        </w:tc>
        <w:tc>
          <w:tcPr>
            <w:tcW w:type="dxa" w:w="1080"/>
          </w:tcPr>
          <w:p>
            <w:r>
              <w:rPr>
                <w:rFonts w:ascii="Calibri" w:hAnsi="Calibri"/>
                <w:sz w:val="22"/>
              </w:rPr>
              <w:t>N/A (full-year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FY2027</w:t>
            </w:r>
          </w:p>
        </w:tc>
        <w:tc>
          <w:tcPr>
            <w:tcW w:type="dxa" w:w="1080"/>
          </w:tcPr>
          <w:p>
            <w:r>
              <w:rPr>
                <w:rFonts w:ascii="Calibri" w:hAnsi="Calibri"/>
                <w:sz w:val="22"/>
              </w:rPr>
              <w:t>$4,082.8M</w:t>
            </w:r>
          </w:p>
        </w:tc>
        <w:tc>
          <w:tcPr>
            <w:tcW w:type="dxa" w:w="1080"/>
          </w:tcPr>
          <w:p>
            <w:r>
              <w:rPr>
                <w:rFonts w:ascii="Calibri" w:hAnsi="Calibri"/>
                <w:sz w:val="22"/>
              </w:rPr>
              <w:t>$4,074.4M</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Operating — FY2027</w:t>
            </w:r>
          </w:p>
        </w:tc>
        <w:tc>
          <w:tcPr>
            <w:tcW w:type="dxa" w:w="1080"/>
          </w:tcPr>
          <w:p>
            <w:r>
              <w:rPr>
                <w:rFonts w:ascii="Calibri" w:hAnsi="Calibri"/>
                <w:sz w:val="22"/>
              </w:rPr>
              <w:t>$5.289</w:t>
            </w:r>
          </w:p>
        </w:tc>
        <w:tc>
          <w:tcPr>
            <w:tcW w:type="dxa" w:w="1080"/>
          </w:tcPr>
          <w:p>
            <w:r>
              <w:rPr>
                <w:rFonts w:ascii="Calibri" w:hAnsi="Calibri"/>
                <w:sz w:val="22"/>
              </w:rPr>
              <w:t>$5.266</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post-earnings baseline, with no meaningful revision in either direction — the Street is anchored to guidance and not building in incremental upside from the Android design win or Qorvo merger optionality. FY2027 estimates have drifted marginally lower (−0.4% on EPS), suggesting the market is not yet pricing in merger synergies.</w:t>
      </w:r>
      <w:r>
        <w:rPr>
          <w:rFonts w:ascii="Calibri" w:hAnsi="Calibri"/>
          <w:i/>
          <w:color w:val="525866"/>
          <w:sz w:val="22"/>
        </w:rPr>
        <w:t xml:space="preserve"> Source: Visible Alpha Consensus and Actuals Data (as-of date: May 12, 2026 for baseline; current as of July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SWKS has dramatically underperformed the SOXX since the May 5 earnings date (−17% vs. SOXX +9%), driven by multiple compression and a KeyBanc downgrade in July rather than estimate cuts — the stock is not pricing in a beat, which creates an asymmetric setup if Q3 results are in line or better.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SWKS vs. SOXX (Semiconductor ETF) vs. S&amp;P 500 (SPY) — Indexed to 100 at May 5, 2026 (Last Earnings Date). Source: Yahoo Finance / Stock Price Data.</w:t>
      </w:r>
    </w:p>
    <w:p>
      <w:r>
        <w:rPr>
          <w:rFonts w:ascii="Calibri" w:hAnsi="Calibri"/>
          <w:b/>
          <w:color w:val="525866"/>
          <w:sz w:val="22"/>
        </w:rPr>
        <w:t xml:space="preserve">Sector ETF used: </w:t>
      </w:r>
      <w:r>
        <w:rPr>
          <w:rFonts w:ascii="Calibri" w:hAnsi="Calibri"/>
          <w:color w:val="525866"/>
          <w:sz w:val="22"/>
        </w:rPr>
        <w:t>SOXX (iShares Semiconductor ETF) — appropriate for SWKS given its pure-play analog/RF semiconductor exposure. Key events marked: Qorvo Debt Exchange announcement (May 22), Qorvo Debt Exchange early participation results (June 11), QCOM Investor Day (June 24), and KeyBanc downgrade (July 14).</w:t>
      </w:r>
    </w:p>
    <w:p>
      <w:r>
        <w:rPr>
          <w:rFonts w:ascii="Calibri" w:hAnsi="Calibri"/>
          <w:b/>
          <w:color w:val="525866"/>
          <w:sz w:val="22"/>
        </w:rPr>
        <w:t xml:space="preserve">Performance Summary (May 5 – July 24, 2026): </w:t>
      </w:r>
      <w:r>
        <w:rPr>
          <w:rFonts w:ascii="Calibri" w:hAnsi="Calibri"/>
          <w:color w:val="525866"/>
          <w:sz w:val="22"/>
        </w:rPr>
        <w:t>SWKS: −17.0% | SOXX: +9.2% | SPY: +2.1%. SWKS's underperformance vs. SOXX of ~26 percentage points is striking given that estimates have barely moved — the gap is almost entirely multiple compression and sentiment. The stock peaked at ~$83 on May 22 (near the Qorvo debt exchange announcement) before a sustained decline through July, with the KeyBanc downgrade on July 14 accelerating the selloff to a low of ~$56.58. The stock has partially recovered to ~$60 as of July 24. At current levels, SWKS trades at approximately 12x NTM EPS — a meaningful discount to the semiconductor peer group — suggesting the market is pricing in execution risk around the Qorvo merger rather than the standalone business.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May 5 earnings call is the Qorvo merger's Phase 2 China SAMR review — the outcome is the single biggest binary risk for the stock and will likely matter more to investors than the Q3 print itself; the Android design win and Qorvo debt exchange progress are incremental positives.</w:t>
      </w:r>
    </w:p>
    <w:p>
      <w:pPr>
        <w:pStyle w:val="ListBullet"/>
        <w:ind w:left="360" w:hanging="360"/>
      </w:pPr>
      <w:r>
        <w:rPr>
          <w:rFonts w:ascii="Calibri" w:hAnsi="Calibri"/>
          <w:b/>
          <w:color w:val="525866"/>
          <w:sz w:val="22"/>
        </w:rPr>
        <w:t xml:space="preserve">May 5, 2026 — Q2 FY2026 Earnings Beat + Strong Q3 Guidance: </w:t>
      </w:r>
      <w:r>
        <w:rPr>
          <w:rFonts w:ascii="Calibri" w:hAnsi="Calibri"/>
          <w:color w:val="525866"/>
          <w:sz w:val="22"/>
        </w:rPr>
        <w:t xml:space="preserve">SWKS reported Q2 revenue of $943.7M (beat vs. $902.2M consensus) and EPS of $1.15 (beat vs. $1.05 consensus). Q3 guidance of $900–$950M and EPS of $1.03 came in materially above Street expectations. Announced multi-generational Android OEM design win expected to generate &gt;$1B in revenue through 2030 at premium gross margins. </w:t>
      </w:r>
    </w:p>
    <w:p>
      <w:pPr>
        <w:pStyle w:val="ListBullet"/>
        <w:ind w:left="360" w:hanging="360"/>
      </w:pPr>
      <w:r>
        <w:rPr>
          <w:rFonts w:ascii="Calibri" w:hAnsi="Calibri"/>
          <w:b/>
          <w:color w:val="525866"/>
          <w:sz w:val="22"/>
        </w:rPr>
        <w:t xml:space="preserve">May 5, 2026 — Android OEM Design Win Announced: </w:t>
      </w:r>
      <w:r>
        <w:rPr>
          <w:rFonts w:ascii="Calibri" w:hAnsi="Calibri"/>
          <w:color w:val="525866"/>
          <w:sz w:val="22"/>
        </w:rPr>
        <w:t xml:space="preserve">Management confirmed a significant multi-generational design win with a leading Android OEM, expected to generate over $1 billion in cumulative revenue through 2030. Revenue is expected to grow year-over-year through 2030 and is independent of the Qorvo merger. This is incremental business at premium gross margins — a meaningful new revenue stream that the Street has not yet fully modeled. </w:t>
      </w:r>
    </w:p>
    <w:p>
      <w:pPr>
        <w:pStyle w:val="ListBullet"/>
        <w:ind w:left="360" w:hanging="360"/>
      </w:pPr>
      <w:r>
        <w:rPr>
          <w:rFonts w:ascii="Calibri" w:hAnsi="Calibri"/>
          <w:b/>
          <w:color w:val="525866"/>
          <w:sz w:val="22"/>
        </w:rPr>
        <w:t xml:space="preserve">May 5, 2026 — Qorvo Merger Update (Phase 2 China SAMR): </w:t>
      </w:r>
      <w:r>
        <w:rPr>
          <w:rFonts w:ascii="Calibri" w:hAnsi="Calibri"/>
          <w:color w:val="525866"/>
          <w:sz w:val="22"/>
        </w:rPr>
        <w:t xml:space="preserve">SWKS entered Phase 2 of the China SAMR antitrust review. Management maintained formal guidance of early calendar 2027 close but expressed they are 'increasingly hopeful' for a late 2026 close. Synergy target of $500M+ reaffirmed. </w:t>
      </w:r>
    </w:p>
    <w:p>
      <w:pPr>
        <w:pStyle w:val="ListBullet"/>
        <w:ind w:left="360" w:hanging="360"/>
      </w:pPr>
      <w:r>
        <w:rPr>
          <w:rFonts w:ascii="Calibri" w:hAnsi="Calibri"/>
          <w:b/>
          <w:color w:val="525866"/>
          <w:sz w:val="22"/>
        </w:rPr>
        <w:t xml:space="preserve">May 5, 2026 — Dividend Declared: </w:t>
      </w:r>
      <w:r>
        <w:rPr>
          <w:rFonts w:ascii="Calibri" w:hAnsi="Calibri"/>
          <w:color w:val="525866"/>
          <w:sz w:val="22"/>
        </w:rPr>
        <w:t>SWKS declared a quarterly cash dividend of $0.71 per share, consistent with prior quarters, signaling financial stability during the merger process.</w:t>
      </w:r>
    </w:p>
    <w:p>
      <w:pPr>
        <w:pStyle w:val="ListBullet"/>
        <w:ind w:left="360" w:hanging="360"/>
      </w:pPr>
      <w:r>
        <w:rPr>
          <w:rFonts w:ascii="Calibri" w:hAnsi="Calibri"/>
          <w:b/>
          <w:color w:val="525866"/>
          <w:sz w:val="22"/>
        </w:rPr>
        <w:t xml:space="preserve">June 11, 2026 — Qorvo Debt Exchange Early Participation Results (8-K): </w:t>
      </w:r>
      <w:r>
        <w:rPr>
          <w:rFonts w:ascii="Calibri" w:hAnsi="Calibri"/>
          <w:color w:val="525866"/>
          <w:sz w:val="22"/>
        </w:rPr>
        <w:t xml:space="preserve">SWKS filed an 8-K announcing early participation results for Qorvo's debt exchange offers. This is a procedural step in the merger financing process and signals the transaction is progressing on schedule. </w:t>
      </w:r>
    </w:p>
    <w:p>
      <w:pPr>
        <w:pStyle w:val="ListBullet"/>
        <w:ind w:left="360" w:hanging="360"/>
      </w:pPr>
      <w:r>
        <w:rPr>
          <w:rFonts w:ascii="Calibri" w:hAnsi="Calibri"/>
          <w:b/>
          <w:color w:val="525866"/>
          <w:sz w:val="22"/>
        </w:rPr>
        <w:t xml:space="preserve">July 14, 2026 — KeyBanc Downgrade (Overweight → Sector Weight): </w:t>
      </w:r>
      <w:r>
        <w:rPr>
          <w:rFonts w:ascii="Calibri" w:hAnsi="Calibri"/>
          <w:color w:val="525866"/>
          <w:sz w:val="22"/>
        </w:rPr>
        <w:t xml:space="preserve">KeyBanc analyst John Vinh downgraded SWKS from Overweight to Sector Weight, citing that original assumptions underpinning the bullish thesis had changed. The stock fell ~3% on the day. This is the most recent analyst action and contributed to the stock's underperformance vs. the SOXX in July. </w:t>
      </w:r>
    </w:p>
    <w:p>
      <w:pPr>
        <w:pStyle w:val="ListBullet"/>
        <w:ind w:left="360" w:hanging="360"/>
      </w:pPr>
      <w:r>
        <w:rPr>
          <w:rFonts w:ascii="Calibri" w:hAnsi="Calibri"/>
          <w:b/>
          <w:color w:val="525866"/>
          <w:sz w:val="22"/>
        </w:rPr>
        <w:t xml:space="preserve">June 23, 2026 — RBC Capital Raises Price Target ($72 → $80, Sector Perform): </w:t>
      </w:r>
      <w:r>
        <w:rPr>
          <w:rFonts w:ascii="Calibri" w:hAnsi="Calibri"/>
          <w:color w:val="525866"/>
          <w:sz w:val="22"/>
        </w:rPr>
        <w:t xml:space="preserve">RBC Capital analyst Srini Pajjuri maintained a Sector Perform rating but raised the price target from $72 to $80, reflecting improved confidence in the near-term demand environment. </w:t>
      </w:r>
    </w:p>
    <w:p>
      <w:pPr>
        <w:pStyle w:val="ListBullet"/>
        <w:ind w:left="360" w:hanging="360"/>
      </w:pPr>
      <w:r>
        <w:rPr>
          <w:rFonts w:ascii="Calibri" w:hAnsi="Calibri"/>
          <w:b/>
          <w:color w:val="525866"/>
          <w:sz w:val="22"/>
        </w:rPr>
        <w:t xml:space="preserve">Ongoing — Input Cost Headwinds (Gold Prices, Expedite Fees): </w:t>
      </w:r>
      <w:r>
        <w:rPr>
          <w:rFonts w:ascii="Calibri" w:hAnsi="Calibri"/>
          <w:color w:val="525866"/>
          <w:sz w:val="22"/>
        </w:rPr>
        <w:t xml:space="preserve">Management flagged on the May 5 call that gold prices and expedite fees remain a modest headwind to gross margin. SWKS is selectively passing costs to customers on long-life products and pursuing fab optimization to offset. This is a watch item for Q3 gross margin vs. the 44.5–45.5% guidance range. </w:t>
      </w:r>
    </w:p>
    <w:p>
      <w:pPr>
        <w:pStyle w:val="ListBullet"/>
        <w:ind w:left="360" w:hanging="360"/>
      </w:pPr>
      <w:r>
        <w:rPr>
          <w:rFonts w:ascii="Calibri" w:hAnsi="Calibri"/>
          <w:b/>
          <w:color w:val="525866"/>
          <w:sz w:val="22"/>
        </w:rPr>
        <w:t xml:space="preserve">Ongoing — Analyst Consensus: </w:t>
      </w:r>
      <w:r>
        <w:rPr>
          <w:rFonts w:ascii="Calibri" w:hAnsi="Calibri"/>
          <w:color w:val="525866"/>
          <w:sz w:val="22"/>
        </w:rPr>
        <w:t>As of late July 2026, consensus is approximately 3 Buy / 13–15 Hold / 3 Sell with an average price target of ~$77–$82, implying ~28–36% upside from current levels (~$60). The wide spread between current price and consensus PT reflects uncertainty around the Qorvo merger outcome.</w:t>
      </w:r>
    </w:p>
    <w:p>
      <w:r>
        <w:br w:type="page"/>
      </w:r>
    </w:p>
    <w:p>
      <w:pPr>
        <w:pStyle w:val="Heading2"/>
      </w:pPr>
      <w:r>
        <w:rPr>
          <w:rFonts w:ascii="Calibri" w:hAnsi="Calibri"/>
          <w:b/>
          <w:color w:val="3B4259"/>
          <w:sz w:val="28"/>
        </w:rPr>
        <w:t>7. Peer Commentaries — Read-Through</w:t>
      </w:r>
    </w:p>
    <w:p>
      <w:r>
        <w:rPr>
          <w:rFonts w:ascii="Calibri" w:hAnsi="Calibri"/>
          <w:b/>
          <w:color w:val="525866"/>
          <w:sz w:val="22"/>
        </w:rPr>
        <w:t xml:space="preserve">Key Takeaway: </w:t>
      </w:r>
      <w:r>
        <w:rPr>
          <w:rFonts w:ascii="Calibri" w:hAnsi="Calibri"/>
          <w:color w:val="525866"/>
          <w:sz w:val="22"/>
        </w:rPr>
        <w:t>Peer commentary from the last 60 days is broadly constructive for SWKS's Q3 FY2026 print: TXN and ADI both reported above-seasonal demand in their current quarters (calendar Q2 2026) with lean channel inventories and accelerating automotive/industrial recovery, while MCHP's June quarter guidance points to strong broad-market demand; QCOM's commentary on handset memory constraints is the one cautionary note for mobile.</w:t>
      </w:r>
    </w:p>
    <w:p>
      <w:r>
        <w:rPr>
          <w:rFonts w:ascii="Calibri" w:hAnsi="Calibri"/>
          <w:b/>
          <w:color w:val="525866"/>
          <w:sz w:val="22"/>
        </w:rPr>
        <w:t xml:space="preserve">Note: </w:t>
      </w:r>
      <w:r>
        <w:rPr>
          <w:rFonts w:ascii="Calibri" w:hAnsi="Calibri"/>
          <w:i/>
          <w:color w:val="525866"/>
          <w:sz w:val="22"/>
        </w:rPr>
        <w:t>Only commentary from peers' current-quarter reporting (calendar Q2 2026 / SWKS Q3 FY2026 period) or forward-looking commentary made after SWKS's last earnings (May 5, 2026) is included below. Prior-quarter result commentary has been excluded.</w:t>
      </w:r>
    </w:p>
    <w:p>
      <w:pPr>
        <w:pStyle w:val="ListBullet"/>
        <w:ind w:left="360" w:hanging="360"/>
      </w:pPr>
      <w:r>
        <w:rPr>
          <w:rFonts w:ascii="Calibri" w:hAnsi="Calibri"/>
          <w:b/>
          <w:color w:val="525866"/>
          <w:sz w:val="22"/>
        </w:rPr>
        <w:t xml:space="preserve">Texas Instruments (TXN) — Q2 2026 Earnings (July 22, 2026) — </w:t>
      </w:r>
      <w:r>
        <w:rPr>
          <w:rFonts w:ascii="Calibri" w:hAnsi="Calibri"/>
          <w:b/>
          <w:color w:val="30A46C"/>
          <w:sz w:val="22"/>
        </w:rPr>
        <w:t xml:space="preserve">POSITIVE READ-THROUGH: </w:t>
      </w:r>
      <w:r>
        <w:rPr>
          <w:rFonts w:ascii="Calibri" w:hAnsi="Calibri"/>
          <w:color w:val="525866"/>
          <w:sz w:val="22"/>
        </w:rPr>
        <w:t xml:space="preserve"> TXN reported Q2 2026 revenue of $5.5B, up 23% YoY and 13% sequentially, beating the high end of guidance. Personal Electronics (smartphones/consumer) was flat YoY and up upper-single-digits sequentially in Q2, with Q3 expected to grow sequentially but at a 'potentially lower level' than typical mid-teens seasonal due to 'some shortages putting pressure on customers.' Automotive accelerated mid-teens YoY and upper-single-digits sequentially, led by China EVs/hybrids. Industrial grew ~30% YoY. Channel inventories remain lean with customers 'early and not yet building inventory.' TXN guided Q3 revenue of $5.65–$6.15B (above seasonal). </w:t>
      </w:r>
    </w:p>
    <w:p>
      <w:pPr>
        <w:pStyle w:val="ListBullet"/>
        <w:ind w:left="360" w:hanging="360"/>
      </w:pPr>
      <w:r>
        <w:rPr>
          <w:rFonts w:ascii="Calibri" w:hAnsi="Calibri"/>
          <w:b/>
          <w:color w:val="525866"/>
          <w:sz w:val="22"/>
        </w:rPr>
        <w:t xml:space="preserve">Read-Through for SWKS: </w:t>
      </w:r>
      <w:r>
        <w:rPr>
          <w:rFonts w:ascii="Calibri" w:hAnsi="Calibri"/>
          <w:color w:val="525866"/>
          <w:sz w:val="22"/>
        </w:rPr>
        <w:t>The above-seasonal demand environment at TXN across industrial, automotive, and data center is a positive read-through for SWKS's Broad Markets segment (Wi-Fi, automotive, data center). The 'some shortages putting pressure on customers' comment in Personal Electronics is a mild caution for mobile RF demand, but TXN's personal electronics exposure is different from SWKS's RF content. Lean channel inventories across the board support SWKS's own book-to-bill above 1 commentary.</w:t>
      </w:r>
    </w:p>
    <w:p>
      <w:pPr>
        <w:pStyle w:val="ListBullet"/>
        <w:ind w:left="360" w:hanging="360"/>
      </w:pPr>
      <w:r>
        <w:rPr>
          <w:rFonts w:ascii="Calibri" w:hAnsi="Calibri"/>
          <w:b/>
          <w:color w:val="525866"/>
          <w:sz w:val="22"/>
        </w:rPr>
        <w:t xml:space="preserve">Analog Devices (ADI) — Q2 FY2026 Earnings (May 20, 2026) — </w:t>
      </w:r>
      <w:r>
        <w:rPr>
          <w:rFonts w:ascii="Calibri" w:hAnsi="Calibri"/>
          <w:b/>
          <w:color w:val="30A46C"/>
          <w:sz w:val="22"/>
        </w:rPr>
        <w:t xml:space="preserve">POSITIVE READ-THROUGH: </w:t>
      </w:r>
      <w:r>
        <w:rPr>
          <w:rFonts w:ascii="Calibri" w:hAnsi="Calibri"/>
          <w:color w:val="525866"/>
          <w:sz w:val="22"/>
        </w:rPr>
        <w:t xml:space="preserve"> ADI reported Q2 revenue and EPS above the high end of guidance, establishing new high watermarks. Industrial grew 56% YoY and 20% sequentially. Automotive grew 8% sequentially and 2% YoY, with a 'material pickup in China during the back part of the quarter.' Data center (&gt;75% of comms revenue) grew &gt;90% YoY. ADI guided Q3 revenue of $3.9B (+/- $100M) with continued above-seasonal growth across industrial, automotive, and communications. Channel inventory weeks declined and remain within the 6–7 week target range. ADI noted 'record demand' despite geopolitical tensions. </w:t>
      </w:r>
    </w:p>
    <w:p>
      <w:pPr>
        <w:pStyle w:val="ListBullet"/>
        <w:ind w:left="360" w:hanging="360"/>
      </w:pPr>
      <w:r>
        <w:rPr>
          <w:rFonts w:ascii="Calibri" w:hAnsi="Calibri"/>
          <w:b/>
          <w:color w:val="525866"/>
          <w:sz w:val="22"/>
        </w:rPr>
        <w:t xml:space="preserve">Read-Through for SWKS: </w:t>
      </w:r>
      <w:r>
        <w:rPr>
          <w:rFonts w:ascii="Calibri" w:hAnsi="Calibri"/>
          <w:color w:val="525866"/>
          <w:sz w:val="22"/>
        </w:rPr>
        <w:t>ADI's record industrial and automotive demand, lean channel inventories, and strong data center growth are all positive read-throughs for SWKS's Broad Markets segment. ADI's wireless business growing &gt;35% YoY is a positive signal for connectivity demand broadly. The automotive recovery led by China is consistent with SWKS's own automotive growth narrative. ADI's above-seasonal Q3 guide reduces downside risk for SWKS's Broad Markets guidance.</w:t>
      </w:r>
    </w:p>
    <w:p>
      <w:pPr>
        <w:pStyle w:val="ListBullet"/>
        <w:ind w:left="360" w:hanging="360"/>
      </w:pPr>
      <w:r>
        <w:rPr>
          <w:rFonts w:ascii="Calibri" w:hAnsi="Calibri"/>
          <w:b/>
          <w:color w:val="525866"/>
          <w:sz w:val="22"/>
        </w:rPr>
        <w:t xml:space="preserve">Microchip Technology (MCHP) — Q4 FY2026 Earnings (May 7, 2026) + June Quarter Guidance — </w:t>
      </w:r>
      <w:r>
        <w:rPr>
          <w:rFonts w:ascii="Calibri" w:hAnsi="Calibri"/>
          <w:b/>
          <w:color w:val="30A46C"/>
          <w:sz w:val="22"/>
        </w:rPr>
        <w:t xml:space="preserve">POSITIVE READ-THROUGH: </w:t>
      </w:r>
      <w:r>
        <w:rPr>
          <w:rFonts w:ascii="Calibri" w:hAnsi="Calibri"/>
          <w:color w:val="525866"/>
          <w:sz w:val="22"/>
        </w:rPr>
        <w:t xml:space="preserve"> MCHP reported Q4 FY2026 (March quarter) revenue of $1.311B, up 10.6% sequentially and 35.1% YoY, above the high end of guidance. Guided June quarter up 11% sequentially (+/- 1%), implying ~35% YoY growth. Distribution inventory at 26 days (lower end of historical range); MCHP believes the distribution inventory correction is complete and expects restocking in the near term. Book-to-bill 'well above 1'; April was the 'largest booking month in almost 4 years.' Lead times increasing on many products. Data center, industrial, automotive, and A&amp;D all expected to show strong growth in the June quarter. </w:t>
      </w:r>
    </w:p>
    <w:p>
      <w:pPr>
        <w:pStyle w:val="ListBullet"/>
        <w:ind w:left="360" w:hanging="360"/>
      </w:pPr>
      <w:r>
        <w:rPr>
          <w:rFonts w:ascii="Calibri" w:hAnsi="Calibri"/>
          <w:b/>
          <w:color w:val="525866"/>
          <w:sz w:val="22"/>
        </w:rPr>
        <w:t xml:space="preserve">Read-Through for SWKS: </w:t>
      </w:r>
      <w:r>
        <w:rPr>
          <w:rFonts w:ascii="Calibri" w:hAnsi="Calibri"/>
          <w:color w:val="525866"/>
          <w:sz w:val="22"/>
        </w:rPr>
        <w:t>MCHP's strong June quarter guide and lean distribution inventory are highly relevant read-throughs for SWKS's Broad Markets segment. The 'largest booking month in almost 4 years' and increasing lead times signal a demand environment that is tightening — supportive of SWKS's book-to-bill above 1 and lean channel inventory commentary. MCHP's data center and automotive strength aligns with SWKS's own growth engines.</w:t>
      </w:r>
    </w:p>
    <w:p>
      <w:pPr>
        <w:pStyle w:val="ListBullet"/>
        <w:ind w:left="360" w:hanging="360"/>
      </w:pPr>
      <w:r>
        <w:rPr>
          <w:rFonts w:ascii="Calibri" w:hAnsi="Calibri"/>
          <w:b/>
          <w:color w:val="525866"/>
          <w:sz w:val="22"/>
        </w:rPr>
        <w:t xml:space="preserve">Qualcomm (QCOM) — Bernstein Conference (May 27, 2026) — </w:t>
      </w:r>
      <w:r>
        <w:rPr>
          <w:rFonts w:ascii="Calibri" w:hAnsi="Calibri"/>
          <w:b/>
          <w:color w:val="525866"/>
          <w:sz w:val="22"/>
        </w:rPr>
        <w:t xml:space="preserve">MIXED READ-THROUGH: </w:t>
      </w:r>
      <w:r>
        <w:rPr>
          <w:rFonts w:ascii="Calibri" w:hAnsi="Calibri"/>
          <w:color w:val="525866"/>
          <w:sz w:val="22"/>
        </w:rPr>
        <w:t xml:space="preserve"> QCOM CEO Cristiano Amon characterized the handset market as 'artificially constrained by the memory situation,' with data points showing the market 'down like 15% year-over-year.' He clarified this 'is not a statement on demand' but a supply constraint. QCOM is 'significantly undershipping to consumer demand.' QCOM guided its IoT segment to ~$1.8B for the next quarter. QCOM noted it 'can now see the bottom in Q3' (QCOM-specific) with 'sequential improvement after Q3.' </w:t>
      </w:r>
    </w:p>
    <w:p>
      <w:pPr>
        <w:pStyle w:val="ListBullet"/>
        <w:ind w:left="360" w:hanging="360"/>
      </w:pPr>
      <w:r>
        <w:rPr>
          <w:rFonts w:ascii="Calibri" w:hAnsi="Calibri"/>
          <w:b/>
          <w:color w:val="525866"/>
          <w:sz w:val="22"/>
        </w:rPr>
        <w:t xml:space="preserve">Read-Through for SWKS: </w:t>
      </w:r>
      <w:r>
        <w:rPr>
          <w:rFonts w:ascii="Calibri" w:hAnsi="Calibri"/>
          <w:color w:val="525866"/>
          <w:sz w:val="22"/>
        </w:rPr>
        <w:t>The memory shortage constraining handset sell-through is a cautionary note for SWKS's mobile segment — if handset units are suppressed by memory availability, RF content demand could be softer than the underlying demand environment suggests. However, SWKS management's own commentary on May 5 indicated no unusual patterns at the largest customer and book-to-bill above 1, suggesting SWKS's specific content position is not being impacted. The QCOM 'bottom in Q3' comment is QCOM-specific (related to its own share dynamics) and not directly applicable to SWKS.</w:t>
      </w:r>
    </w:p>
    <w:p>
      <w:pPr>
        <w:pStyle w:val="ListBullet"/>
        <w:ind w:left="360" w:hanging="360"/>
      </w:pPr>
      <w:r>
        <w:rPr>
          <w:rFonts w:ascii="Calibri" w:hAnsi="Calibri"/>
          <w:b/>
          <w:color w:val="525866"/>
          <w:sz w:val="22"/>
        </w:rPr>
        <w:t xml:space="preserve">Qualcomm (QCOM) — Investor Day (June 24, 2026) — </w:t>
      </w:r>
      <w:r>
        <w:rPr>
          <w:rFonts w:ascii="Calibri" w:hAnsi="Calibri"/>
          <w:b/>
          <w:color w:val="30A46C"/>
          <w:sz w:val="22"/>
        </w:rPr>
        <w:t xml:space="preserve">POSITIVE LONG-TERM READ-THROUGH: </w:t>
      </w:r>
      <w:r>
        <w:rPr>
          <w:rFonts w:ascii="Calibri" w:hAnsi="Calibri"/>
          <w:color w:val="525866"/>
          <w:sz w:val="22"/>
        </w:rPr>
        <w:t xml:space="preserve"> QCOM outlined an aggressive data center and edge AI strategy, targeting $5B in data center revenue in FY2027 and $40B total company revenue by FY2029. QCOM highlighted that 6G will require significantly more RF complexity ('more bands, more antennas, more filters') and that AI-driven workloads are increasing demands on wireless performance. QCOM's automotive business is projected to exit FY2026 at $6B annualized revenue with 23 consecutive quarters of double-digit YoY growth. </w:t>
      </w:r>
    </w:p>
    <w:p>
      <w:pPr>
        <w:pStyle w:val="ListBullet"/>
        <w:ind w:left="360" w:hanging="360"/>
      </w:pPr>
      <w:r>
        <w:rPr>
          <w:rFonts w:ascii="Calibri" w:hAnsi="Calibri"/>
          <w:b/>
          <w:color w:val="525866"/>
          <w:sz w:val="22"/>
        </w:rPr>
        <w:t xml:space="preserve">Read-Through for SWKS: </w:t>
      </w:r>
      <w:r>
        <w:rPr>
          <w:rFonts w:ascii="Calibri" w:hAnsi="Calibri"/>
          <w:color w:val="525866"/>
          <w:sz w:val="22"/>
        </w:rPr>
        <w:t>QCOM's 6G roadmap and AI-driven RF complexity narrative directly validates SWKS's long-term content growth thesis. QCOM's automotive momentum is a positive read-through for SWKS's automotive connectivity business. The data center AI infrastructure buildout supports SWKS's data center timing/power business growth. These are longer-term tailwinds rather than Q3-specific catalysts.</w:t>
      </w:r>
    </w:p>
    <w:p>
      <w:pPr>
        <w:pStyle w:val="ListBullet"/>
        <w:ind w:left="360" w:hanging="360"/>
      </w:pPr>
      <w:r>
        <w:rPr>
          <w:rFonts w:ascii="Calibri" w:hAnsi="Calibri"/>
          <w:b/>
          <w:color w:val="525866"/>
          <w:sz w:val="22"/>
        </w:rPr>
        <w:t xml:space="preserve">NXP Semiconductors (NXPI) — TD Cowen Conference (May 27, 2026) — </w:t>
      </w:r>
      <w:r>
        <w:rPr>
          <w:rFonts w:ascii="Calibri" w:hAnsi="Calibri"/>
          <w:b/>
          <w:color w:val="30A46C"/>
          <w:sz w:val="22"/>
        </w:rPr>
        <w:t xml:space="preserve">POSITIVE READ-THROUGH: </w:t>
      </w:r>
      <w:r>
        <w:rPr>
          <w:rFonts w:ascii="Calibri" w:hAnsi="Calibri"/>
          <w:color w:val="525866"/>
          <w:sz w:val="22"/>
        </w:rPr>
        <w:t xml:space="preserve"> NXPI noted that the 9-quarter automotive Tier 1 inventory overhang is 'finally behind us,' with most Tier 1s now 'buying to end demand.' Book-to-bill 'solidly above 1,' customer backlog 'very nice and building,' late orders and expedites increasing, lead times stretching out. NXPI guided automotive 'up again in Q2' with China participating. NXPI believes it can 'grow in the low double digits this year and next year.' NXPI is raising prices in H2 due to inflationary input costs (energy, transportation, precious metals, substrates). </w:t>
      </w:r>
    </w:p>
    <w:p>
      <w:pPr>
        <w:pStyle w:val="ListBullet"/>
        <w:ind w:left="360" w:hanging="360"/>
      </w:pPr>
      <w:r>
        <w:rPr>
          <w:rFonts w:ascii="Calibri" w:hAnsi="Calibri"/>
          <w:b/>
          <w:color w:val="525866"/>
          <w:sz w:val="22"/>
        </w:rPr>
        <w:t xml:space="preserve">Read-Through for SWKS: </w:t>
      </w:r>
      <w:r>
        <w:rPr>
          <w:rFonts w:ascii="Calibri" w:hAnsi="Calibri"/>
          <w:color w:val="525866"/>
          <w:sz w:val="22"/>
        </w:rPr>
        <w:t>NXPI's confirmation that the automotive inventory correction is complete and that demand is recovering is a strong positive read-through for SWKS's automotive connectivity business. The pricing commentary (raising prices to offset input cost inflation) is consistent with SWKS's own selective price increase strategy and validates that the industry is passing through cost increases. Stretching lead times and expedite orders signal a tightening supply environment that supports SWKS's lean inventory and book-to-bill commentary.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filed in the period — all transactions are routine RSU grants and vesting events (Form 4 codes A/M) tied to the annual director compensation cycle, which is not a meaningful signal in either direction.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Batey, Alan S.</w:t>
            </w:r>
          </w:p>
        </w:tc>
        <w:tc>
          <w:tcPr>
            <w:tcW w:type="dxa" w:w="1234"/>
          </w:tcPr>
          <w:p>
            <w:r>
              <w:rPr>
                <w:rFonts w:ascii="Calibri" w:hAnsi="Calibri"/>
                <w:sz w:val="22"/>
              </w:rPr>
              <w:t>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r>
        <w:tc>
          <w:tcPr>
            <w:tcW w:type="dxa" w:w="1234"/>
          </w:tcPr>
          <w:p>
            <w:r>
              <w:rPr>
                <w:rFonts w:ascii="Calibri" w:hAnsi="Calibri"/>
                <w:sz w:val="22"/>
              </w:rPr>
              <w:t>Batey, Alan S.</w:t>
            </w:r>
          </w:p>
        </w:tc>
        <w:tc>
          <w:tcPr>
            <w:tcW w:type="dxa" w:w="1234"/>
          </w:tcPr>
          <w:p>
            <w:r>
              <w:rPr>
                <w:rFonts w:ascii="Calibri" w:hAnsi="Calibri"/>
                <w:sz w:val="22"/>
              </w:rPr>
              <w:t>Director</w:t>
            </w:r>
          </w:p>
        </w:tc>
        <w:tc>
          <w:tcPr>
            <w:tcW w:type="dxa" w:w="1234"/>
          </w:tcPr>
          <w:p>
            <w:r>
              <w:rPr>
                <w:rFonts w:ascii="Calibri" w:hAnsi="Calibri"/>
                <w:sz w:val="22"/>
              </w:rPr>
              <w:t>RSU Vest / Common Stock Conversion (M/A)</w:t>
            </w:r>
          </w:p>
        </w:tc>
        <w:tc>
          <w:tcPr>
            <w:tcW w:type="dxa" w:w="1234"/>
          </w:tcPr>
          <w:p>
            <w:r>
              <w:rPr>
                <w:rFonts w:ascii="Calibri" w:hAnsi="Calibri"/>
                <w:sz w:val="22"/>
              </w:rPr>
              <w:t>Common Stock</w:t>
            </w:r>
          </w:p>
        </w:tc>
        <w:tc>
          <w:tcPr>
            <w:tcW w:type="dxa" w:w="1234"/>
          </w:tcPr>
          <w:p>
            <w:r>
              <w:rPr>
                <w:rFonts w:ascii="Calibri" w:hAnsi="Calibri"/>
                <w:sz w:val="22"/>
              </w:rPr>
              <w:t>3,664</w:t>
            </w:r>
          </w:p>
        </w:tc>
        <w:tc>
          <w:tcPr>
            <w:tcW w:type="dxa" w:w="1234"/>
          </w:tcPr>
          <w:p>
            <w:r>
              <w:rPr>
                <w:rFonts w:ascii="Calibri" w:hAnsi="Calibri"/>
                <w:sz w:val="22"/>
              </w:rPr>
              <w:t>May 14, 2026</w:t>
            </w:r>
          </w:p>
        </w:tc>
        <w:tc>
          <w:tcPr>
            <w:tcW w:type="dxa" w:w="1234"/>
          </w:tcPr>
          <w:p>
            <w:r>
              <w:rPr>
                <w:rFonts w:ascii="Calibri" w:hAnsi="Calibri"/>
                <w:sz w:val="22"/>
              </w:rPr>
              <w:t>RSU vesting; shares converted to common stock; not a discretionary sale</w:t>
            </w:r>
          </w:p>
        </w:tc>
      </w:tr>
      <w:tr>
        <w:tc>
          <w:tcPr>
            <w:tcW w:type="dxa" w:w="1234"/>
          </w:tcPr>
          <w:p>
            <w:r>
              <w:rPr>
                <w:rFonts w:ascii="Calibri" w:hAnsi="Calibri"/>
                <w:sz w:val="22"/>
              </w:rPr>
              <w:t>Beebe, Kevin L.</w:t>
            </w:r>
          </w:p>
        </w:tc>
        <w:tc>
          <w:tcPr>
            <w:tcW w:type="dxa" w:w="1234"/>
          </w:tcPr>
          <w:p>
            <w:r>
              <w:rPr>
                <w:rFonts w:ascii="Calibri" w:hAnsi="Calibri"/>
                <w:sz w:val="22"/>
              </w:rPr>
              <w:t>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r>
        <w:tc>
          <w:tcPr>
            <w:tcW w:type="dxa" w:w="1234"/>
          </w:tcPr>
          <w:p>
            <w:r>
              <w:rPr>
                <w:rFonts w:ascii="Calibri" w:hAnsi="Calibri"/>
                <w:sz w:val="22"/>
              </w:rPr>
              <w:t>Beebe, Kevin L.</w:t>
            </w:r>
          </w:p>
        </w:tc>
        <w:tc>
          <w:tcPr>
            <w:tcW w:type="dxa" w:w="1234"/>
          </w:tcPr>
          <w:p>
            <w:r>
              <w:rPr>
                <w:rFonts w:ascii="Calibri" w:hAnsi="Calibri"/>
                <w:sz w:val="22"/>
              </w:rPr>
              <w:t>Director</w:t>
            </w:r>
          </w:p>
        </w:tc>
        <w:tc>
          <w:tcPr>
            <w:tcW w:type="dxa" w:w="1234"/>
          </w:tcPr>
          <w:p>
            <w:r>
              <w:rPr>
                <w:rFonts w:ascii="Calibri" w:hAnsi="Calibri"/>
                <w:sz w:val="22"/>
              </w:rPr>
              <w:t>RSU Vest / Common Stock Conversion (M/A)</w:t>
            </w:r>
          </w:p>
        </w:tc>
        <w:tc>
          <w:tcPr>
            <w:tcW w:type="dxa" w:w="1234"/>
          </w:tcPr>
          <w:p>
            <w:r>
              <w:rPr>
                <w:rFonts w:ascii="Calibri" w:hAnsi="Calibri"/>
                <w:sz w:val="22"/>
              </w:rPr>
              <w:t>Common Stock</w:t>
            </w:r>
          </w:p>
        </w:tc>
        <w:tc>
          <w:tcPr>
            <w:tcW w:type="dxa" w:w="1234"/>
          </w:tcPr>
          <w:p>
            <w:r>
              <w:rPr>
                <w:rFonts w:ascii="Calibri" w:hAnsi="Calibri"/>
                <w:sz w:val="22"/>
              </w:rPr>
              <w:t>3,664</w:t>
            </w:r>
          </w:p>
        </w:tc>
        <w:tc>
          <w:tcPr>
            <w:tcW w:type="dxa" w:w="1234"/>
          </w:tcPr>
          <w:p>
            <w:r>
              <w:rPr>
                <w:rFonts w:ascii="Calibri" w:hAnsi="Calibri"/>
                <w:sz w:val="22"/>
              </w:rPr>
              <w:t>May 14, 2026</w:t>
            </w:r>
          </w:p>
        </w:tc>
        <w:tc>
          <w:tcPr>
            <w:tcW w:type="dxa" w:w="1234"/>
          </w:tcPr>
          <w:p>
            <w:r>
              <w:rPr>
                <w:rFonts w:ascii="Calibri" w:hAnsi="Calibri"/>
                <w:sz w:val="22"/>
              </w:rPr>
              <w:t>RSU vesting; not a discretionary sale</w:t>
            </w:r>
          </w:p>
        </w:tc>
      </w:tr>
      <w:tr>
        <w:tc>
          <w:tcPr>
            <w:tcW w:type="dxa" w:w="1234"/>
          </w:tcPr>
          <w:p>
            <w:r>
              <w:rPr>
                <w:rFonts w:ascii="Calibri" w:hAnsi="Calibri"/>
                <w:sz w:val="22"/>
              </w:rPr>
              <w:t>McGlade, David P.</w:t>
            </w:r>
          </w:p>
        </w:tc>
        <w:tc>
          <w:tcPr>
            <w:tcW w:type="dxa" w:w="1234"/>
          </w:tcPr>
          <w:p>
            <w:r>
              <w:rPr>
                <w:rFonts w:ascii="Calibri" w:hAnsi="Calibri"/>
                <w:sz w:val="22"/>
              </w:rPr>
              <w:t>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r>
        <w:tc>
          <w:tcPr>
            <w:tcW w:type="dxa" w:w="1234"/>
          </w:tcPr>
          <w:p>
            <w:r>
              <w:rPr>
                <w:rFonts w:ascii="Calibri" w:hAnsi="Calibri"/>
                <w:sz w:val="22"/>
              </w:rPr>
              <w:t>Guerin, Eric</w:t>
            </w:r>
          </w:p>
        </w:tc>
        <w:tc>
          <w:tcPr>
            <w:tcW w:type="dxa" w:w="1234"/>
          </w:tcPr>
          <w:p>
            <w:r>
              <w:rPr>
                <w:rFonts w:ascii="Calibri" w:hAnsi="Calibri"/>
                <w:sz w:val="22"/>
              </w:rPr>
              <w:t>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r>
        <w:tc>
          <w:tcPr>
            <w:tcW w:type="dxa" w:w="1234"/>
          </w:tcPr>
          <w:p>
            <w:r>
              <w:rPr>
                <w:rFonts w:ascii="Calibri" w:hAnsi="Calibri"/>
                <w:sz w:val="22"/>
              </w:rPr>
              <w:t>King, Christine</w:t>
            </w:r>
          </w:p>
        </w:tc>
        <w:tc>
          <w:tcPr>
            <w:tcW w:type="dxa" w:w="1234"/>
          </w:tcPr>
          <w:p>
            <w:r>
              <w:rPr>
                <w:rFonts w:ascii="Calibri" w:hAnsi="Calibri"/>
                <w:sz w:val="22"/>
              </w:rPr>
              <w:t>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r>
        <w:tc>
          <w:tcPr>
            <w:tcW w:type="dxa" w:w="1234"/>
          </w:tcPr>
          <w:p>
            <w:r>
              <w:rPr>
                <w:rFonts w:ascii="Calibri" w:hAnsi="Calibri"/>
                <w:sz w:val="22"/>
              </w:rPr>
              <w:t>McBride, Suzanne E.</w:t>
            </w:r>
          </w:p>
        </w:tc>
        <w:tc>
          <w:tcPr>
            <w:tcW w:type="dxa" w:w="1234"/>
          </w:tcPr>
          <w:p>
            <w:r>
              <w:rPr>
                <w:rFonts w:ascii="Calibri" w:hAnsi="Calibri"/>
                <w:sz w:val="22"/>
              </w:rPr>
              <w:t>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r>
        <w:tc>
          <w:tcPr>
            <w:tcW w:type="dxa" w:w="1234"/>
          </w:tcPr>
          <w:p>
            <w:r>
              <w:rPr>
                <w:rFonts w:ascii="Calibri" w:hAnsi="Calibri"/>
                <w:sz w:val="22"/>
              </w:rPr>
              <w:t>Schriesheim, Robert A.</w:t>
            </w:r>
          </w:p>
        </w:tc>
        <w:tc>
          <w:tcPr>
            <w:tcW w:type="dxa" w:w="1234"/>
          </w:tcPr>
          <w:p>
            <w:r>
              <w:rPr>
                <w:rFonts w:ascii="Calibri" w:hAnsi="Calibri"/>
                <w:sz w:val="22"/>
              </w:rPr>
              <w:t>Interim CFO, 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r>
        <w:tc>
          <w:tcPr>
            <w:tcW w:type="dxa" w:w="1234"/>
          </w:tcPr>
          <w:p>
            <w:r>
              <w:rPr>
                <w:rFonts w:ascii="Calibri" w:hAnsi="Calibri"/>
                <w:sz w:val="22"/>
              </w:rPr>
              <w:t>Turcke, Maryann</w:t>
            </w:r>
          </w:p>
        </w:tc>
        <w:tc>
          <w:tcPr>
            <w:tcW w:type="dxa" w:w="1234"/>
          </w:tcPr>
          <w:p>
            <w:r>
              <w:rPr>
                <w:rFonts w:ascii="Calibri" w:hAnsi="Calibri"/>
                <w:sz w:val="22"/>
              </w:rPr>
              <w:t>Director</w:t>
            </w:r>
          </w:p>
        </w:tc>
        <w:tc>
          <w:tcPr>
            <w:tcW w:type="dxa" w:w="1234"/>
          </w:tcPr>
          <w:p>
            <w:r>
              <w:rPr>
                <w:rFonts w:ascii="Calibri" w:hAnsi="Calibri"/>
                <w:sz w:val="22"/>
              </w:rPr>
              <w:t>RSU Grant (A)</w:t>
            </w:r>
          </w:p>
        </w:tc>
        <w:tc>
          <w:tcPr>
            <w:tcW w:type="dxa" w:w="1234"/>
          </w:tcPr>
          <w:p>
            <w:r>
              <w:rPr>
                <w:rFonts w:ascii="Calibri" w:hAnsi="Calibri"/>
                <w:sz w:val="22"/>
              </w:rPr>
              <w:t>Restricted Stock Units</w:t>
            </w:r>
          </w:p>
        </w:tc>
        <w:tc>
          <w:tcPr>
            <w:tcW w:type="dxa" w:w="1234"/>
          </w:tcPr>
          <w:p>
            <w:r>
              <w:rPr>
                <w:rFonts w:ascii="Calibri" w:hAnsi="Calibri"/>
                <w:sz w:val="22"/>
              </w:rPr>
              <w:t>3,724</w:t>
            </w:r>
          </w:p>
        </w:tc>
        <w:tc>
          <w:tcPr>
            <w:tcW w:type="dxa" w:w="1234"/>
          </w:tcPr>
          <w:p>
            <w:r>
              <w:rPr>
                <w:rFonts w:ascii="Calibri" w:hAnsi="Calibri"/>
                <w:sz w:val="22"/>
              </w:rPr>
              <w:t>May 13, 2026</w:t>
            </w:r>
          </w:p>
        </w:tc>
        <w:tc>
          <w:tcPr>
            <w:tcW w:type="dxa" w:w="1234"/>
          </w:tcPr>
          <w:p>
            <w:r>
              <w:rPr>
                <w:rFonts w:ascii="Calibri" w:hAnsi="Calibri"/>
                <w:sz w:val="22"/>
              </w:rPr>
              <w:t>Annual director RSU grant; routine compensation</w:t>
            </w:r>
          </w:p>
        </w:tc>
      </w:tr>
    </w:tbl>
    <w:p>
      <w:r>
        <w:rPr>
          <w:rFonts w:ascii="Calibri" w:hAnsi="Calibri"/>
          <w:color w:val="525866"/>
          <w:sz w:val="22"/>
        </w:rPr>
        <w:t>All transactions filed May 15, 2026 (Form 4). Transaction codes: A = Grant/Award (RSU grant); M = Exercise/Conversion (RSU vesting to common stock). No open-market purchases (code P) or discretionary sales (code S) were filed in the May 5 – July 27, 2026 window. The clustered RSU grants across all directors on May 13–14 are consistent with the annual director compensation cycle following the fiscal year-end board meeting. No insider buying or selling signal is present.</w:t>
      </w:r>
      <w:r>
        <w:rPr>
          <w:rFonts w:ascii="Calibri" w:hAnsi="Calibri"/>
          <w:i/>
          <w:color w:val="525866"/>
          <w:sz w:val="22"/>
        </w:rPr>
        <w:t xml:space="preserve"> 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