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Skyworks Solutions (SWKS) — Q3 FY2026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Skyworks Solutions, Inc.</w:t>
            </w:r>
          </w:p>
        </w:tc>
      </w:tr>
      <w:tr>
        <w:tc>
          <w:tcPr>
            <w:tcW w:type="dxa" w:w="4320"/>
          </w:tcPr>
          <w:p>
            <w:r>
              <w:rPr>
                <w:rFonts w:ascii="Calibri" w:hAnsi="Calibri"/>
                <w:b/>
                <w:sz w:val="22"/>
              </w:rPr>
              <w:t>Ticker</w:t>
            </w:r>
          </w:p>
        </w:tc>
        <w:tc>
          <w:tcPr>
            <w:tcW w:type="dxa" w:w="4320"/>
          </w:tcPr>
          <w:p>
            <w:r>
              <w:rPr>
                <w:rFonts w:ascii="Calibri" w:hAnsi="Calibri"/>
                <w:sz w:val="22"/>
              </w:rPr>
              <w:t>SWKS (Nasdaq)</w:t>
            </w:r>
          </w:p>
        </w:tc>
      </w:tr>
      <w:tr>
        <w:tc>
          <w:tcPr>
            <w:tcW w:type="dxa" w:w="4320"/>
          </w:tcPr>
          <w:p>
            <w:r>
              <w:rPr>
                <w:rFonts w:ascii="Calibri" w:hAnsi="Calibri"/>
                <w:b/>
                <w:sz w:val="22"/>
              </w:rPr>
              <w:t>Reporting Period</w:t>
            </w:r>
          </w:p>
        </w:tc>
        <w:tc>
          <w:tcPr>
            <w:tcW w:type="dxa" w:w="4320"/>
          </w:tcPr>
          <w:p>
            <w:r>
              <w:rPr>
                <w:rFonts w:ascii="Calibri" w:hAnsi="Calibri"/>
                <w:sz w:val="22"/>
              </w:rPr>
              <w:t>Q3 FY2026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(after market close, 4:30 p.m. EDT)</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Consensus is a manageable bar — revenue guidance midpoint of $925M is essentially in line with the $926M Street estimate — but the setup is complicated by a stock that has given back nearly all of its post-earnings gains and a macro backdrop (memory uncertainty, Qualcomm price hikes) that clouds near-term mobile demand visibility; the biggest swing factor is whether Broad Markets can sustain its double-digit YoY growth trajectory and offset any mobile softness.</w:t>
      </w:r>
    </w:p>
    <w:p>
      <w:r>
        <w:rPr>
          <w:rFonts w:ascii="Calibri" w:hAnsi="Calibri"/>
          <w:color w:val="525866"/>
          <w:sz w:val="22"/>
        </w:rPr>
        <w:t xml:space="preserve">Heading into Q3 FY2026, Skyworks faces a print where the bar is neither obviously high nor low — management guided revenue of $900M–$950M (midpoint $925M) and operating EPS of ~$1.03, both of which are essentially in line with current consensus of $926M and $1.04, leaving little room for a guidance-driven re-rating in either direction. The more interesting debate is whether the company can sustain the momentum from Q2's double-digit Broad Markets growth (up 10% YoY, nine consecutive quarters of growth) while navigating a mobile segment that faces headwinds from memory-driven handset demand uncertainty flagged by Qualcomm at its June 24 Investor Day. </w:t>
      </w:r>
      <w:r>
        <w:rPr>
          <w:rFonts w:ascii="Calibri" w:hAnsi="Calibri"/>
          <w:b/>
          <w:color w:val="525866"/>
          <w:sz w:val="22"/>
        </w:rPr>
        <w:t>Estimate revisions have been flat since the May 5 print</w:t>
      </w:r>
      <w:r>
        <w:rPr>
          <w:rFonts w:ascii="Calibri" w:hAnsi="Calibri"/>
          <w:color w:val="525866"/>
          <w:sz w:val="22"/>
        </w:rPr>
        <w:t xml:space="preserve"> — Q3 revenue consensus has not moved from $926M and EPS from $1.04 — suggesting the Street is comfortable with guidance but not yet pricing in upside. The stock has underperformed badly since earnings, falling ~17% vs. SOXX roughly flat, driven almost entirely by multiple compression (NTM P/E contracted from ~13.7x to ~11.6x) rather than estimate cuts, which means the stock is pricing in more risk than the numbers alone imply. The key wildcard is the </w:t>
      </w:r>
      <w:r>
        <w:rPr>
          <w:rFonts w:ascii="Calibri" w:hAnsi="Calibri"/>
          <w:b/>
          <w:color w:val="525866"/>
          <w:sz w:val="22"/>
        </w:rPr>
        <w:t>Qorvo merger timeline</w:t>
      </w:r>
      <w:r>
        <w:rPr>
          <w:rFonts w:ascii="Calibri" w:hAnsi="Calibri"/>
          <w:color w:val="525866"/>
          <w:sz w:val="22"/>
        </w:rPr>
        <w:t>: any update on China SAMR Phase 2 review progress — particularly a signal that a late-2026 close is achievable — could be a meaningful positive catalyst independent of the operating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essentially in line with guidance midpoints across all key metrics, leaving the print outcome dependent on execution rather than estimate positioning; </w:t>
      </w:r>
      <w:r>
        <w:rPr>
          <w:rFonts w:ascii="Calibri" w:hAnsi="Calibri"/>
          <w:b/>
          <w:color w:val="525866"/>
          <w:sz w:val="22"/>
        </w:rPr>
        <w:t>Broad Markets revenue growth rate is the bigger swing factor</w:t>
      </w:r>
      <w:r>
        <w:rPr>
          <w:rFonts w:ascii="Calibri" w:hAnsi="Calibri"/>
          <w:color w:val="525866"/>
          <w:sz w:val="22"/>
        </w:rPr>
        <w:t xml:space="preserve"> — a sustained double-digit YoY print would validate the diversification thesis, while any deceleration would pressure the stock further.</w:t>
      </w:r>
    </w:p>
    <w:p>
      <w:pPr>
        <w:pStyle w:val="Heading3"/>
      </w:pPr>
      <w:r>
        <w:rPr>
          <w:rFonts w:ascii="Calibri" w:hAnsi="Calibri"/>
          <w:b/>
          <w:color w:val="3B4259"/>
          <w:sz w:val="24"/>
        </w:rPr>
        <w:t>Table 1 — Q3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FY2026)</w:t>
            </w:r>
          </w:p>
        </w:tc>
        <w:tc>
          <w:tcPr>
            <w:tcW w:type="dxa" w:w="1234"/>
            <w:shd w:val="clear" w:color="auto" w:fill="3B4259"/>
          </w:tcPr>
          <w:p>
            <w:r>
              <w:rPr>
                <w:rFonts w:ascii="Calibri" w:hAnsi="Calibri"/>
                <w:b/>
                <w:color w:val="FFFFFF"/>
                <w:sz w:val="22"/>
              </w:rPr>
              <w:t>Prior Year Period Actual (Q3 FY2025)</w:t>
            </w:r>
          </w:p>
        </w:tc>
        <w:tc>
          <w:tcPr>
            <w:tcW w:type="dxa" w:w="1234"/>
            <w:shd w:val="clear" w:color="auto" w:fill="3B4259"/>
          </w:tcPr>
          <w:p>
            <w:r>
              <w:rPr>
                <w:rFonts w:ascii="Calibri" w:hAnsi="Calibri"/>
                <w:b/>
                <w:color w:val="FFFFFF"/>
                <w:sz w:val="22"/>
              </w:rPr>
              <w:t>Consensus Estimate (Q3 FY2026)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(Q3 FY2026)</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Revenue ($M)</w:t>
            </w:r>
          </w:p>
        </w:tc>
        <w:tc>
          <w:tcPr>
            <w:tcW w:type="dxa" w:w="1234"/>
          </w:tcPr>
          <w:p>
            <w:r>
              <w:rPr>
                <w:rFonts w:ascii="Calibri" w:hAnsi="Calibri"/>
                <w:sz w:val="22"/>
              </w:rPr>
              <w:t>$943.7M</w:t>
            </w:r>
          </w:p>
        </w:tc>
        <w:tc>
          <w:tcPr>
            <w:tcW w:type="dxa" w:w="1234"/>
          </w:tcPr>
          <w:p>
            <w:r>
              <w:rPr>
                <w:rFonts w:ascii="Calibri" w:hAnsi="Calibri"/>
                <w:sz w:val="22"/>
              </w:rPr>
              <w:t>$965.0M</w:t>
            </w:r>
          </w:p>
        </w:tc>
        <w:tc>
          <w:tcPr>
            <w:tcW w:type="dxa" w:w="1234"/>
          </w:tcPr>
          <w:p>
            <w:r>
              <w:rPr>
                <w:rFonts w:ascii="Calibri" w:hAnsi="Calibri"/>
                <w:sz w:val="22"/>
              </w:rPr>
              <w:t>$926.1M</w:t>
            </w:r>
          </w:p>
        </w:tc>
        <w:tc>
          <w:tcPr>
            <w:tcW w:type="dxa" w:w="1234"/>
          </w:tcPr>
          <w:p>
            <w:r>
              <w:rPr>
                <w:rFonts w:ascii="Calibri" w:hAnsi="Calibri"/>
                <w:sz w:val="22"/>
              </w:rPr>
              <w:t>−4.0%</w:t>
            </w:r>
          </w:p>
        </w:tc>
        <w:tc>
          <w:tcPr>
            <w:tcW w:type="dxa" w:w="1234"/>
          </w:tcPr>
          <w:p>
            <w:r>
              <w:rPr>
                <w:rFonts w:ascii="Calibri" w:hAnsi="Calibri"/>
                <w:sz w:val="22"/>
              </w:rPr>
              <w:t>$900M–$950M (mid: $925M)</w:t>
            </w:r>
          </w:p>
        </w:tc>
        <w:tc>
          <w:tcPr>
            <w:tcW w:type="dxa" w:w="1234"/>
          </w:tcPr>
          <w:p>
            <w:r>
              <w:rPr>
                <w:rFonts w:ascii="Calibri" w:hAnsi="Calibri"/>
                <w:sz w:val="22"/>
              </w:rPr>
              <w:t>+0.1%</w:t>
            </w:r>
          </w:p>
        </w:tc>
      </w:tr>
      <w:tr>
        <w:tc>
          <w:tcPr>
            <w:tcW w:type="dxa" w:w="1234"/>
          </w:tcPr>
          <w:p>
            <w:r>
              <w:rPr>
                <w:rFonts w:ascii="Calibri" w:hAnsi="Calibri"/>
                <w:sz w:val="22"/>
              </w:rPr>
              <w:t>EPS — Diluted Operating ($)</w:t>
            </w:r>
          </w:p>
        </w:tc>
        <w:tc>
          <w:tcPr>
            <w:tcW w:type="dxa" w:w="1234"/>
          </w:tcPr>
          <w:p>
            <w:r>
              <w:rPr>
                <w:rFonts w:ascii="Calibri" w:hAnsi="Calibri"/>
                <w:sz w:val="22"/>
              </w:rPr>
              <w:t>$1.15</w:t>
            </w:r>
          </w:p>
        </w:tc>
        <w:tc>
          <w:tcPr>
            <w:tcW w:type="dxa" w:w="1234"/>
          </w:tcPr>
          <w:p>
            <w:r>
              <w:rPr>
                <w:rFonts w:ascii="Calibri" w:hAnsi="Calibri"/>
                <w:sz w:val="22"/>
              </w:rPr>
              <w:t>$1.33</w:t>
            </w:r>
          </w:p>
        </w:tc>
        <w:tc>
          <w:tcPr>
            <w:tcW w:type="dxa" w:w="1234"/>
          </w:tcPr>
          <w:p>
            <w:r>
              <w:rPr>
                <w:rFonts w:ascii="Calibri" w:hAnsi="Calibri"/>
                <w:sz w:val="22"/>
              </w:rPr>
              <w:t>$1.04</w:t>
            </w:r>
          </w:p>
        </w:tc>
        <w:tc>
          <w:tcPr>
            <w:tcW w:type="dxa" w:w="1234"/>
          </w:tcPr>
          <w:p>
            <w:r>
              <w:rPr>
                <w:rFonts w:ascii="Calibri" w:hAnsi="Calibri"/>
                <w:sz w:val="22"/>
              </w:rPr>
              <w:t>−21.8%</w:t>
            </w:r>
          </w:p>
        </w:tc>
        <w:tc>
          <w:tcPr>
            <w:tcW w:type="dxa" w:w="1234"/>
          </w:tcPr>
          <w:p>
            <w:r>
              <w:rPr>
                <w:rFonts w:ascii="Calibri" w:hAnsi="Calibri"/>
                <w:sz w:val="22"/>
              </w:rPr>
              <w:t>~$1.03 (at $925M midpoint)</w:t>
            </w:r>
          </w:p>
        </w:tc>
        <w:tc>
          <w:tcPr>
            <w:tcW w:type="dxa" w:w="1234"/>
          </w:tcPr>
          <w:p>
            <w:r>
              <w:rPr>
                <w:rFonts w:ascii="Calibri" w:hAnsi="Calibri"/>
                <w:sz w:val="22"/>
              </w:rPr>
              <w:t>+0.6%</w:t>
            </w:r>
          </w:p>
        </w:tc>
      </w:tr>
      <w:tr>
        <w:tc>
          <w:tcPr>
            <w:tcW w:type="dxa" w:w="1234"/>
          </w:tcPr>
          <w:p>
            <w:r>
              <w:rPr>
                <w:rFonts w:ascii="Calibri" w:hAnsi="Calibri"/>
                <w:sz w:val="22"/>
              </w:rPr>
              <w:t>Mobile Revenue ($M)</w:t>
            </w:r>
          </w:p>
        </w:tc>
        <w:tc>
          <w:tcPr>
            <w:tcW w:type="dxa" w:w="1234"/>
          </w:tcPr>
          <w:p>
            <w:r>
              <w:rPr>
                <w:rFonts w:ascii="Calibri" w:hAnsi="Calibri"/>
                <w:sz w:val="22"/>
              </w:rPr>
              <w:t>$547.3M (58% of rev)</w:t>
            </w:r>
          </w:p>
        </w:tc>
        <w:tc>
          <w:tcPr>
            <w:tcW w:type="dxa" w:w="1234"/>
          </w:tcPr>
          <w:p>
            <w:r>
              <w:rPr>
                <w:rFonts w:ascii="Calibri" w:hAnsi="Calibri"/>
                <w:sz w:val="22"/>
              </w:rPr>
              <w:t>$598.3M</w:t>
            </w:r>
          </w:p>
        </w:tc>
        <w:tc>
          <w:tcPr>
            <w:tcW w:type="dxa" w:w="1234"/>
          </w:tcPr>
          <w:p>
            <w:r>
              <w:rPr>
                <w:rFonts w:ascii="Calibri" w:hAnsi="Calibri"/>
                <w:sz w:val="22"/>
              </w:rPr>
              <w:t>$525.6M</w:t>
            </w:r>
          </w:p>
        </w:tc>
        <w:tc>
          <w:tcPr>
            <w:tcW w:type="dxa" w:w="1234"/>
          </w:tcPr>
          <w:p>
            <w:r>
              <w:rPr>
                <w:rFonts w:ascii="Calibri" w:hAnsi="Calibri"/>
                <w:sz w:val="22"/>
              </w:rPr>
              <w:t>−12.2%</w:t>
            </w:r>
          </w:p>
        </w:tc>
        <w:tc>
          <w:tcPr>
            <w:tcW w:type="dxa" w:w="1234"/>
          </w:tcPr>
          <w:p>
            <w:r>
              <w:rPr>
                <w:rFonts w:ascii="Calibri" w:hAnsi="Calibri"/>
                <w:sz w:val="22"/>
              </w:rPr>
              <w:t>Low single-digit sequential decline</w:t>
            </w:r>
          </w:p>
        </w:tc>
        <w:tc>
          <w:tcPr>
            <w:tcW w:type="dxa" w:w="1234"/>
          </w:tcPr>
          <w:p>
            <w:r>
              <w:rPr>
                <w:rFonts w:ascii="Calibri" w:hAnsi="Calibri"/>
                <w:sz w:val="22"/>
              </w:rPr>
              <w:t>~−3% vs. Q2 implied</w:t>
            </w:r>
          </w:p>
        </w:tc>
      </w:tr>
      <w:tr>
        <w:tc>
          <w:tcPr>
            <w:tcW w:type="dxa" w:w="1234"/>
          </w:tcPr>
          <w:p>
            <w:r>
              <w:rPr>
                <w:rFonts w:ascii="Calibri" w:hAnsi="Calibri"/>
                <w:sz w:val="22"/>
              </w:rPr>
              <w:t>Broad Markets Revenue ($M)</w:t>
            </w:r>
          </w:p>
        </w:tc>
        <w:tc>
          <w:tcPr>
            <w:tcW w:type="dxa" w:w="1234"/>
          </w:tcPr>
          <w:p>
            <w:r>
              <w:rPr>
                <w:rFonts w:ascii="Calibri" w:hAnsi="Calibri"/>
                <w:sz w:val="22"/>
              </w:rPr>
              <w:t>$396.4M (42% of rev)</w:t>
            </w:r>
          </w:p>
        </w:tc>
        <w:tc>
          <w:tcPr>
            <w:tcW w:type="dxa" w:w="1234"/>
          </w:tcPr>
          <w:p>
            <w:r>
              <w:rPr>
                <w:rFonts w:ascii="Calibri" w:hAnsi="Calibri"/>
                <w:sz w:val="22"/>
              </w:rPr>
              <w:t>$366.7M</w:t>
            </w:r>
          </w:p>
        </w:tc>
        <w:tc>
          <w:tcPr>
            <w:tcW w:type="dxa" w:w="1234"/>
          </w:tcPr>
          <w:p>
            <w:r>
              <w:rPr>
                <w:rFonts w:ascii="Calibri" w:hAnsi="Calibri"/>
                <w:sz w:val="22"/>
              </w:rPr>
              <w:t>$400.5M</w:t>
            </w:r>
          </w:p>
        </w:tc>
        <w:tc>
          <w:tcPr>
            <w:tcW w:type="dxa" w:w="1234"/>
          </w:tcPr>
          <w:p>
            <w:r>
              <w:rPr>
                <w:rFonts w:ascii="Calibri" w:hAnsi="Calibri"/>
                <w:sz w:val="22"/>
              </w:rPr>
              <w:t>+9.2% YoY</w:t>
            </w:r>
          </w:p>
        </w:tc>
        <w:tc>
          <w:tcPr>
            <w:tcW w:type="dxa" w:w="1234"/>
          </w:tcPr>
          <w:p>
            <w:r>
              <w:rPr>
                <w:rFonts w:ascii="Calibri" w:hAnsi="Calibri"/>
                <w:sz w:val="22"/>
              </w:rPr>
              <w:t>Up modestly sequentially; ~43% of sales; high single-digit YoY growth</w:t>
            </w:r>
          </w:p>
        </w:tc>
        <w:tc>
          <w:tcPr>
            <w:tcW w:type="dxa" w:w="1234"/>
          </w:tcPr>
          <w:p>
            <w:r>
              <w:rPr>
                <w:rFonts w:ascii="Calibri" w:hAnsi="Calibri"/>
                <w:sz w:val="22"/>
              </w:rPr>
              <w:t>~+1% vs. implied midpoint</w:t>
            </w:r>
          </w:p>
        </w:tc>
      </w:tr>
      <w:tr>
        <w:tc>
          <w:tcPr>
            <w:tcW w:type="dxa" w:w="1234"/>
          </w:tcPr>
          <w:p>
            <w:r>
              <w:rPr>
                <w:rFonts w:ascii="Calibri" w:hAnsi="Calibri"/>
                <w:sz w:val="22"/>
              </w:rPr>
              <w:t>Gross Profit — Operating ($M)</w:t>
            </w:r>
          </w:p>
        </w:tc>
        <w:tc>
          <w:tcPr>
            <w:tcW w:type="dxa" w:w="1234"/>
          </w:tcPr>
          <w:p>
            <w:r>
              <w:rPr>
                <w:rFonts w:ascii="Calibri" w:hAnsi="Calibri"/>
                <w:sz w:val="22"/>
              </w:rPr>
              <w:t>$424.9M (45.0% margin)</w:t>
            </w:r>
          </w:p>
        </w:tc>
        <w:tc>
          <w:tcPr>
            <w:tcW w:type="dxa" w:w="1234"/>
          </w:tcPr>
          <w:p>
            <w:r>
              <w:rPr>
                <w:rFonts w:ascii="Calibri" w:hAnsi="Calibri"/>
                <w:sz w:val="22"/>
              </w:rPr>
              <w:t>$454.2M (47.1% margin)</w:t>
            </w:r>
          </w:p>
        </w:tc>
        <w:tc>
          <w:tcPr>
            <w:tcW w:type="dxa" w:w="1234"/>
          </w:tcPr>
          <w:p>
            <w:r>
              <w:rPr>
                <w:rFonts w:ascii="Calibri" w:hAnsi="Calibri"/>
                <w:sz w:val="22"/>
              </w:rPr>
              <w:t>$416.8M (45.0% implied)</w:t>
            </w:r>
          </w:p>
        </w:tc>
        <w:tc>
          <w:tcPr>
            <w:tcW w:type="dxa" w:w="1234"/>
          </w:tcPr>
          <w:p>
            <w:r>
              <w:rPr>
                <w:rFonts w:ascii="Calibri" w:hAnsi="Calibri"/>
                <w:sz w:val="22"/>
              </w:rPr>
              <w:t>−8.2%</w:t>
            </w:r>
          </w:p>
        </w:tc>
        <w:tc>
          <w:tcPr>
            <w:tcW w:type="dxa" w:w="1234"/>
          </w:tcPr>
          <w:p>
            <w:r>
              <w:rPr>
                <w:rFonts w:ascii="Calibri" w:hAnsi="Calibri"/>
                <w:sz w:val="22"/>
              </w:rPr>
              <w:t>44.5%–45.5% (mid: 45.0%)</w:t>
            </w:r>
          </w:p>
        </w:tc>
        <w:tc>
          <w:tcPr>
            <w:tcW w:type="dxa" w:w="1234"/>
          </w:tcPr>
          <w:p>
            <w:r>
              <w:rPr>
                <w:rFonts w:ascii="Calibri" w:hAnsi="Calibri"/>
                <w:sz w:val="22"/>
              </w:rPr>
              <w:t>~0 bps vs. midpoint</w:t>
            </w:r>
          </w:p>
        </w:tc>
      </w:tr>
    </w:tbl>
    <w:p>
      <w:r>
        <w:rPr>
          <w:rFonts w:ascii="Calibri" w:hAnsi="Calibri"/>
          <w:color w:val="525866"/>
          <w:sz w:val="22"/>
        </w:rPr>
        <w:t>Sources: Visible Alpha consensus and actuals data; Q2 FY2026 earnings call transcript (May 5, 2026) for guidance figures.</w:t>
      </w:r>
    </w:p>
    <w:p>
      <w:pPr>
        <w:pStyle w:val="Heading3"/>
      </w:pPr>
      <w:r>
        <w:rPr>
          <w:rFonts w:ascii="Calibri" w:hAnsi="Calibri"/>
          <w:b/>
          <w:color w:val="3B4259"/>
          <w:sz w:val="24"/>
        </w:rPr>
        <w:t>Table 2 — Beat/Miss History (Last 8 Quarters, Top 2 KPIs)</w:t>
      </w:r>
    </w:p>
    <w:p>
      <w:r>
        <w:rPr>
          <w:rFonts w:ascii="Calibri" w:hAnsi="Calibri"/>
          <w:b/>
          <w:color w:val="525866"/>
          <w:sz w:val="22"/>
          <w:u w:val="single"/>
        </w:rPr>
        <w:t>Net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w:t>
            </w:r>
          </w:p>
        </w:tc>
        <w:tc>
          <w:tcPr>
            <w:tcW w:type="dxa" w:w="1728"/>
          </w:tcPr>
          <w:p>
            <w:r>
              <w:rPr>
                <w:rFonts w:ascii="Calibri" w:hAnsi="Calibri"/>
                <w:sz w:val="22"/>
              </w:rPr>
              <w:t>$905.5M</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FY2024</w:t>
            </w:r>
          </w:p>
        </w:tc>
        <w:tc>
          <w:tcPr>
            <w:tcW w:type="dxa" w:w="1728"/>
          </w:tcPr>
          <w:p>
            <w:r>
              <w:rPr>
                <w:rFonts w:ascii="Calibri" w:hAnsi="Calibri"/>
                <w:sz w:val="22"/>
              </w:rPr>
              <w:t>$1,024.9M</w:t>
            </w:r>
          </w:p>
        </w:tc>
        <w:tc>
          <w:tcPr>
            <w:tcW w:type="dxa" w:w="1728"/>
          </w:tcPr>
          <w:p>
            <w:r>
              <w:rPr>
                <w:rFonts w:ascii="Calibri" w:hAnsi="Calibri"/>
                <w:sz w:val="22"/>
              </w:rPr>
              <w:t>$1,022.0M</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$1,068.5M</w:t>
            </w:r>
          </w:p>
        </w:tc>
        <w:tc>
          <w:tcPr>
            <w:tcW w:type="dxa" w:w="1728"/>
          </w:tcPr>
          <w:p>
            <w:r>
              <w:rPr>
                <w:rFonts w:ascii="Calibri" w:hAnsi="Calibri"/>
                <w:sz w:val="22"/>
              </w:rPr>
              <w:t>$1,066.0M</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$953.2M</w:t>
            </w:r>
          </w:p>
        </w:tc>
        <w:tc>
          <w:tcPr>
            <w:tcW w:type="dxa" w:w="1728"/>
          </w:tcPr>
          <w:p>
            <w:r>
              <w:rPr>
                <w:rFonts w:ascii="Calibri" w:hAnsi="Calibri"/>
                <w:sz w:val="22"/>
              </w:rPr>
              <w:t>$952.9M</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FY2025</w:t>
            </w:r>
          </w:p>
        </w:tc>
        <w:tc>
          <w:tcPr>
            <w:tcW w:type="dxa" w:w="1728"/>
          </w:tcPr>
          <w:p>
            <w:r>
              <w:rPr>
                <w:rFonts w:ascii="Calibri" w:hAnsi="Calibri"/>
                <w:sz w:val="22"/>
              </w:rPr>
              <w:t>$965.0M</w:t>
            </w:r>
          </w:p>
        </w:tc>
        <w:tc>
          <w:tcPr>
            <w:tcW w:type="dxa" w:w="1728"/>
          </w:tcPr>
          <w:p>
            <w:r>
              <w:rPr>
                <w:rFonts w:ascii="Calibri" w:hAnsi="Calibri"/>
                <w:sz w:val="22"/>
              </w:rPr>
              <w:t>$940.8M</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$1,100.2M</w:t>
            </w:r>
          </w:p>
        </w:tc>
        <w:tc>
          <w:tcPr>
            <w:tcW w:type="dxa" w:w="1728"/>
          </w:tcPr>
          <w:p>
            <w:r>
              <w:rPr>
                <w:rFonts w:ascii="Calibri" w:hAnsi="Calibri"/>
                <w:sz w:val="22"/>
              </w:rPr>
              <w:t>$1,043.9M</w:t>
            </w:r>
          </w:p>
        </w:tc>
        <w:tc>
          <w:tcPr>
            <w:tcW w:type="dxa" w:w="1728"/>
          </w:tcPr>
          <w:p>
            <w:r>
              <w:rPr>
                <w:rFonts w:ascii="Calibri" w:hAnsi="Calibri"/>
                <w:sz w:val="22"/>
              </w:rPr>
              <w:t>+5.4%</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$1,035.4M</w:t>
            </w:r>
          </w:p>
        </w:tc>
        <w:tc>
          <w:tcPr>
            <w:tcW w:type="dxa" w:w="1728"/>
          </w:tcPr>
          <w:p>
            <w:r>
              <w:rPr>
                <w:rFonts w:ascii="Calibri" w:hAnsi="Calibri"/>
                <w:sz w:val="22"/>
              </w:rPr>
              <w:t>$1,001.3M</w:t>
            </w:r>
          </w:p>
        </w:tc>
        <w:tc>
          <w:tcPr>
            <w:tcW w:type="dxa" w:w="1728"/>
          </w:tcPr>
          <w:p>
            <w:r>
              <w:rPr>
                <w:rFonts w:ascii="Calibri" w:hAnsi="Calibri"/>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$943.7M</w:t>
            </w:r>
          </w:p>
        </w:tc>
        <w:tc>
          <w:tcPr>
            <w:tcW w:type="dxa" w:w="1728"/>
          </w:tcPr>
          <w:p>
            <w:r>
              <w:rPr>
                <w:rFonts w:ascii="Calibri" w:hAnsi="Calibri"/>
                <w:sz w:val="22"/>
              </w:rPr>
              <w:t>$902.2M</w:t>
            </w:r>
          </w:p>
        </w:tc>
        <w:tc>
          <w:tcPr>
            <w:tcW w:type="dxa" w:w="1728"/>
          </w:tcPr>
          <w:p>
            <w:r>
              <w:rPr>
                <w:rFonts w:ascii="Calibri" w:hAnsi="Calibri"/>
                <w:sz w:val="22"/>
              </w:rPr>
              <w:t>+4.6%</w:t>
            </w:r>
          </w:p>
        </w:tc>
        <w:tc>
          <w:tcPr>
            <w:tcW w:type="dxa" w:w="1728"/>
          </w:tcPr>
          <w:p>
            <w:r>
              <w:rPr>
                <w:rFonts w:ascii="Calibri" w:hAnsi="Calibri"/>
                <w:b/>
                <w:color w:val="30A46C"/>
                <w:sz w:val="22"/>
              </w:rPr>
              <w:t>Beat</w:t>
            </w:r>
          </w:p>
        </w:tc>
      </w:tr>
    </w:tbl>
    <w:p>
      <w:r>
        <w:rPr>
          <w:rFonts w:ascii="Calibri" w:hAnsi="Calibri"/>
          <w:b/>
          <w:color w:val="525866"/>
          <w:sz w:val="22"/>
          <w:u w:val="single"/>
        </w:rPr>
        <w:t>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FY2024</w:t>
            </w:r>
          </w:p>
        </w:tc>
        <w:tc>
          <w:tcPr>
            <w:tcW w:type="dxa" w:w="1728"/>
          </w:tcPr>
          <w:p>
            <w:r>
              <w:rPr>
                <w:rFonts w:ascii="Calibri" w:hAnsi="Calibri"/>
                <w:sz w:val="22"/>
              </w:rPr>
              <w:t>$1.55</w:t>
            </w:r>
          </w:p>
        </w:tc>
        <w:tc>
          <w:tcPr>
            <w:tcW w:type="dxa" w:w="1728"/>
          </w:tcPr>
          <w:p>
            <w:r>
              <w:rPr>
                <w:rFonts w:ascii="Calibri" w:hAnsi="Calibri"/>
                <w:sz w:val="22"/>
              </w:rPr>
              <w:t>$1.53</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$1.60</w:t>
            </w:r>
          </w:p>
        </w:tc>
        <w:tc>
          <w:tcPr>
            <w:tcW w:type="dxa" w:w="1728"/>
          </w:tcPr>
          <w:p>
            <w:r>
              <w:rPr>
                <w:rFonts w:ascii="Calibri" w:hAnsi="Calibri"/>
                <w:sz w:val="22"/>
              </w:rPr>
              <w:t>$1.57</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$1.24</w:t>
            </w:r>
          </w:p>
        </w:tc>
        <w:tc>
          <w:tcPr>
            <w:tcW w:type="dxa" w:w="1728"/>
          </w:tcPr>
          <w:p>
            <w:r>
              <w:rPr>
                <w:rFonts w:ascii="Calibri" w:hAnsi="Calibri"/>
                <w:sz w:val="22"/>
              </w:rPr>
              <w:t>$1.21</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$1.33</w:t>
            </w:r>
          </w:p>
        </w:tc>
        <w:tc>
          <w:tcPr>
            <w:tcW w:type="dxa" w:w="1728"/>
          </w:tcPr>
          <w:p>
            <w:r>
              <w:rPr>
                <w:rFonts w:ascii="Calibri" w:hAnsi="Calibri"/>
                <w:sz w:val="22"/>
              </w:rPr>
              <w:t>$1.24</w:t>
            </w:r>
          </w:p>
        </w:tc>
        <w:tc>
          <w:tcPr>
            <w:tcW w:type="dxa" w:w="1728"/>
          </w:tcPr>
          <w:p>
            <w:r>
              <w:rPr>
                <w:rFonts w:ascii="Calibri" w:hAnsi="Calibri"/>
                <w:sz w:val="22"/>
              </w:rPr>
              <w:t>+7.0%</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$1.76</w:t>
            </w:r>
          </w:p>
        </w:tc>
        <w:tc>
          <w:tcPr>
            <w:tcW w:type="dxa" w:w="1728"/>
          </w:tcPr>
          <w:p>
            <w:r>
              <w:rPr>
                <w:rFonts w:ascii="Calibri" w:hAnsi="Calibri"/>
                <w:sz w:val="22"/>
              </w:rPr>
              <w:t>$1.52</w:t>
            </w:r>
          </w:p>
        </w:tc>
        <w:tc>
          <w:tcPr>
            <w:tcW w:type="dxa" w:w="1728"/>
          </w:tcPr>
          <w:p>
            <w:r>
              <w:rPr>
                <w:rFonts w:ascii="Calibri" w:hAnsi="Calibri"/>
                <w:sz w:val="22"/>
              </w:rPr>
              <w:t>+15.5%</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$1.54</w:t>
            </w:r>
          </w:p>
        </w:tc>
        <w:tc>
          <w:tcPr>
            <w:tcW w:type="dxa" w:w="1728"/>
          </w:tcPr>
          <w:p>
            <w:r>
              <w:rPr>
                <w:rFonts w:ascii="Calibri" w:hAnsi="Calibri"/>
                <w:sz w:val="22"/>
              </w:rPr>
              <w:t>$1.40</w:t>
            </w:r>
          </w:p>
        </w:tc>
        <w:tc>
          <w:tcPr>
            <w:tcW w:type="dxa" w:w="1728"/>
          </w:tcPr>
          <w:p>
            <w:r>
              <w:rPr>
                <w:rFonts w:ascii="Calibri" w:hAnsi="Calibri"/>
                <w:sz w:val="22"/>
              </w:rPr>
              <w:t>+9.9%</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$1.15</w:t>
            </w:r>
          </w:p>
        </w:tc>
        <w:tc>
          <w:tcPr>
            <w:tcW w:type="dxa" w:w="1728"/>
          </w:tcPr>
          <w:p>
            <w:r>
              <w:rPr>
                <w:rFonts w:ascii="Calibri" w:hAnsi="Calibri"/>
                <w:sz w:val="22"/>
              </w:rPr>
              <w:t>$1.05</w:t>
            </w:r>
          </w:p>
        </w:tc>
        <w:tc>
          <w:tcPr>
            <w:tcW w:type="dxa" w:w="1728"/>
          </w:tcPr>
          <w:p>
            <w:r>
              <w:rPr>
                <w:rFonts w:ascii="Calibri" w:hAnsi="Calibri"/>
                <w:sz w:val="22"/>
              </w:rPr>
              <w:t>+9.9%</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SWKS has beaten consensus on operating EPS in every one of the last seven reported quarters, with beats ranging from +1.6% to +15.5% — a remarkably consistent track record that suggests management guides conservatively and the Street tends to under-model operational leverage. Revenue beats have been smaller but consistent (5 of 6 quarters with available consensus data). This history sets a modest expectation for another beat, though the magnitude of the Q3 FY2026 beat may be smaller given the tighter guidance-to-consensus gap.</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May 5 earnings call; the Q3 FY2026 outlook provided then remains the operative baseline. </w:t>
      </w:r>
      <w:r>
        <w:rPr>
          <w:rFonts w:ascii="Calibri" w:hAnsi="Calibri"/>
          <w:b/>
          <w:color w:val="525866"/>
          <w:sz w:val="22"/>
        </w:rPr>
        <w:t>Tone is cautiously constructive</w:t>
      </w:r>
      <w:r>
        <w:rPr>
          <w:rFonts w:ascii="Calibri" w:hAnsi="Calibri"/>
          <w:color w:val="525866"/>
          <w:sz w:val="22"/>
        </w:rPr>
        <w:t xml:space="preserve"> — management flagged input cost headwinds (gold prices, expedite fees) as a modest gross margin drag but expressed confidence in Broad Markets momentum and the Android design win ramp.</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5,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Revenue</w:t>
            </w:r>
          </w:p>
        </w:tc>
        <w:tc>
          <w:tcPr>
            <w:tcW w:type="dxa" w:w="1728"/>
          </w:tcPr>
          <w:p>
            <w:r>
              <w:rPr>
                <w:rFonts w:ascii="Calibri" w:hAnsi="Calibri"/>
                <w:sz w:val="22"/>
              </w:rPr>
              <w:t>$900M–$950M (mid: $925M)</w:t>
            </w:r>
          </w:p>
        </w:tc>
        <w:tc>
          <w:tcPr>
            <w:tcW w:type="dxa" w:w="1728"/>
          </w:tcPr>
          <w:p>
            <w:r>
              <w:rPr>
                <w:rFonts w:ascii="Calibri" w:hAnsi="Calibri"/>
                <w:sz w:val="22"/>
              </w:rPr>
              <w:t>—</w:t>
            </w:r>
          </w:p>
        </w:tc>
        <w:tc>
          <w:tcPr>
            <w:tcW w:type="dxa" w:w="1728"/>
          </w:tcPr>
          <w:p>
            <w:r>
              <w:rPr>
                <w:rFonts w:ascii="Calibri" w:hAnsi="Calibri"/>
                <w:sz w:val="22"/>
              </w:rPr>
              <w:t>$926.1M</w:t>
            </w:r>
          </w:p>
        </w:tc>
        <w:tc>
          <w:tcPr>
            <w:tcW w:type="dxa" w:w="1728"/>
          </w:tcPr>
          <w:p>
            <w:r>
              <w:rPr>
                <w:rFonts w:ascii="Calibri" w:hAnsi="Calibri"/>
                <w:sz w:val="22"/>
              </w:rPr>
              <w:t>No post-earnings revision; consensus sits at guidance midpoint</w:t>
            </w:r>
          </w:p>
        </w:tc>
      </w:tr>
      <w:tr>
        <w:tc>
          <w:tcPr>
            <w:tcW w:type="dxa" w:w="1728"/>
          </w:tcPr>
          <w:p>
            <w:r>
              <w:rPr>
                <w:rFonts w:ascii="Calibri" w:hAnsi="Calibri"/>
                <w:sz w:val="22"/>
              </w:rPr>
              <w:t>Gross Margin (Operating)</w:t>
            </w:r>
          </w:p>
        </w:tc>
        <w:tc>
          <w:tcPr>
            <w:tcW w:type="dxa" w:w="1728"/>
          </w:tcPr>
          <w:p>
            <w:r>
              <w:rPr>
                <w:rFonts w:ascii="Calibri" w:hAnsi="Calibri"/>
                <w:sz w:val="22"/>
              </w:rPr>
              <w:t>44.5%–45.5% (mid: 45.0%)</w:t>
            </w:r>
          </w:p>
        </w:tc>
        <w:tc>
          <w:tcPr>
            <w:tcW w:type="dxa" w:w="1728"/>
          </w:tcPr>
          <w:p>
            <w:r>
              <w:rPr>
                <w:rFonts w:ascii="Calibri" w:hAnsi="Calibri"/>
                <w:sz w:val="22"/>
              </w:rPr>
              <w:t>—</w:t>
            </w:r>
          </w:p>
        </w:tc>
        <w:tc>
          <w:tcPr>
            <w:tcW w:type="dxa" w:w="1728"/>
          </w:tcPr>
          <w:p>
            <w:r>
              <w:rPr>
                <w:rFonts w:ascii="Calibri" w:hAnsi="Calibri"/>
                <w:sz w:val="22"/>
              </w:rPr>
              <w:t>~45.0% (implied from gross profit consensus of $416.8M)</w:t>
            </w:r>
          </w:p>
        </w:tc>
        <w:tc>
          <w:tcPr>
            <w:tcW w:type="dxa" w:w="1728"/>
          </w:tcPr>
          <w:p>
            <w:r>
              <w:rPr>
                <w:rFonts w:ascii="Calibri" w:hAnsi="Calibri"/>
                <w:sz w:val="22"/>
              </w:rPr>
              <w:t>Flat sequentially; input cost headwinds (gold, expedite fees) flagged; management passing select costs to customers on long-life products</w:t>
            </w:r>
          </w:p>
        </w:tc>
      </w:tr>
      <w:tr>
        <w:tc>
          <w:tcPr>
            <w:tcW w:type="dxa" w:w="1728"/>
          </w:tcPr>
          <w:p>
            <w:r>
              <w:rPr>
                <w:rFonts w:ascii="Calibri" w:hAnsi="Calibri"/>
                <w:sz w:val="22"/>
              </w:rPr>
              <w:t>Operating Expenses</w:t>
            </w:r>
          </w:p>
        </w:tc>
        <w:tc>
          <w:tcPr>
            <w:tcW w:type="dxa" w:w="1728"/>
          </w:tcPr>
          <w:p>
            <w:r>
              <w:rPr>
                <w:rFonts w:ascii="Calibri" w:hAnsi="Calibri"/>
                <w:sz w:val="22"/>
              </w:rPr>
              <w:t>$235M–$245M (mid: $240M)</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Tight discretionary control maintained; key R&amp;D initiatives funded</w:t>
            </w:r>
          </w:p>
        </w:tc>
      </w:tr>
      <w:tr>
        <w:tc>
          <w:tcPr>
            <w:tcW w:type="dxa" w:w="1728"/>
          </w:tcPr>
          <w:p>
            <w:r>
              <w:rPr>
                <w:rFonts w:ascii="Calibri" w:hAnsi="Calibri"/>
                <w:sz w:val="22"/>
              </w:rPr>
              <w:t>Other Expenses</w:t>
            </w:r>
          </w:p>
        </w:tc>
        <w:tc>
          <w:tcPr>
            <w:tcW w:type="dxa" w:w="1728"/>
          </w:tcPr>
          <w:p>
            <w:r>
              <w:rPr>
                <w:rFonts w:ascii="Calibri" w:hAnsi="Calibri"/>
                <w:sz w:val="22"/>
              </w:rPr>
              <w:t>~$4M</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w:t>
            </w:r>
          </w:p>
        </w:tc>
      </w:tr>
      <w:tr>
        <w:tc>
          <w:tcPr>
            <w:tcW w:type="dxa" w:w="1728"/>
          </w:tcPr>
          <w:p>
            <w:r>
              <w:rPr>
                <w:rFonts w:ascii="Calibri" w:hAnsi="Calibri"/>
                <w:sz w:val="22"/>
              </w:rPr>
              <w:t>Tax Rate</w:t>
            </w:r>
          </w:p>
        </w:tc>
        <w:tc>
          <w:tcPr>
            <w:tcW w:type="dxa" w:w="1728"/>
          </w:tcPr>
          <w:p>
            <w:r>
              <w:rPr>
                <w:rFonts w:ascii="Calibri" w:hAnsi="Calibri"/>
                <w:sz w:val="22"/>
              </w:rPr>
              <w:t>10%</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w:t>
            </w:r>
          </w:p>
        </w:tc>
      </w:tr>
      <w:tr>
        <w:tc>
          <w:tcPr>
            <w:tcW w:type="dxa" w:w="1728"/>
          </w:tcPr>
          <w:p>
            <w:r>
              <w:rPr>
                <w:rFonts w:ascii="Calibri" w:hAnsi="Calibri"/>
                <w:sz w:val="22"/>
              </w:rPr>
              <w:t>Diluted EPS (Operating)</w:t>
            </w:r>
          </w:p>
        </w:tc>
        <w:tc>
          <w:tcPr>
            <w:tcW w:type="dxa" w:w="1728"/>
          </w:tcPr>
          <w:p>
            <w:r>
              <w:rPr>
                <w:rFonts w:ascii="Calibri" w:hAnsi="Calibri"/>
                <w:sz w:val="22"/>
              </w:rPr>
              <w:t>~$1.03 (at $925M midpoint; 151M diluted shares)</w:t>
            </w:r>
          </w:p>
        </w:tc>
        <w:tc>
          <w:tcPr>
            <w:tcW w:type="dxa" w:w="1728"/>
          </w:tcPr>
          <w:p>
            <w:r>
              <w:rPr>
                <w:rFonts w:ascii="Calibri" w:hAnsi="Calibri"/>
                <w:sz w:val="22"/>
              </w:rPr>
              <w:t>—</w:t>
            </w:r>
          </w:p>
        </w:tc>
        <w:tc>
          <w:tcPr>
            <w:tcW w:type="dxa" w:w="1728"/>
          </w:tcPr>
          <w:p>
            <w:r>
              <w:rPr>
                <w:rFonts w:ascii="Calibri" w:hAnsi="Calibri"/>
                <w:sz w:val="22"/>
              </w:rPr>
              <w:t>$1.04</w:t>
            </w:r>
          </w:p>
        </w:tc>
        <w:tc>
          <w:tcPr>
            <w:tcW w:type="dxa" w:w="1728"/>
          </w:tcPr>
          <w:p>
            <w:r>
              <w:rPr>
                <w:rFonts w:ascii="Calibri" w:hAnsi="Calibri"/>
                <w:sz w:val="22"/>
              </w:rPr>
              <w:t>No revision; consensus marginally above guidance midpoint</w:t>
            </w:r>
          </w:p>
        </w:tc>
      </w:tr>
      <w:tr>
        <w:tc>
          <w:tcPr>
            <w:tcW w:type="dxa" w:w="1728"/>
          </w:tcPr>
          <w:p>
            <w:r>
              <w:rPr>
                <w:rFonts w:ascii="Calibri" w:hAnsi="Calibri"/>
                <w:sz w:val="22"/>
              </w:rPr>
              <w:t>Mobile Revenue (directional)</w:t>
            </w:r>
          </w:p>
        </w:tc>
        <w:tc>
          <w:tcPr>
            <w:tcW w:type="dxa" w:w="1728"/>
          </w:tcPr>
          <w:p>
            <w:r>
              <w:rPr>
                <w:rFonts w:ascii="Calibri" w:hAnsi="Calibri"/>
                <w:sz w:val="22"/>
              </w:rPr>
              <w:t>Low single-digit sequential decline</w:t>
            </w:r>
          </w:p>
        </w:tc>
        <w:tc>
          <w:tcPr>
            <w:tcW w:type="dxa" w:w="1728"/>
          </w:tcPr>
          <w:p>
            <w:r>
              <w:rPr>
                <w:rFonts w:ascii="Calibri" w:hAnsi="Calibri"/>
                <w:sz w:val="22"/>
              </w:rPr>
              <w:t>—</w:t>
            </w:r>
          </w:p>
        </w:tc>
        <w:tc>
          <w:tcPr>
            <w:tcW w:type="dxa" w:w="1728"/>
          </w:tcPr>
          <w:p>
            <w:r>
              <w:rPr>
                <w:rFonts w:ascii="Calibri" w:hAnsi="Calibri"/>
                <w:sz w:val="22"/>
              </w:rPr>
              <w:t>$525.6M (vs. $547.3M in Q2)</w:t>
            </w:r>
          </w:p>
        </w:tc>
        <w:tc>
          <w:tcPr>
            <w:tcW w:type="dxa" w:w="1728"/>
          </w:tcPr>
          <w:p>
            <w:r>
              <w:rPr>
                <w:rFonts w:ascii="Calibri" w:hAnsi="Calibri"/>
                <w:sz w:val="22"/>
              </w:rPr>
              <w:t>Consensus implies ~−4% sequential decline, consistent with guidance</w:t>
            </w:r>
          </w:p>
        </w:tc>
      </w:tr>
      <w:tr>
        <w:tc>
          <w:tcPr>
            <w:tcW w:type="dxa" w:w="1728"/>
          </w:tcPr>
          <w:p>
            <w:r>
              <w:rPr>
                <w:rFonts w:ascii="Calibri" w:hAnsi="Calibri"/>
                <w:sz w:val="22"/>
              </w:rPr>
              <w:t>Broad Markets Revenue (directional)</w:t>
            </w:r>
          </w:p>
        </w:tc>
        <w:tc>
          <w:tcPr>
            <w:tcW w:type="dxa" w:w="1728"/>
          </w:tcPr>
          <w:p>
            <w:r>
              <w:rPr>
                <w:rFonts w:ascii="Calibri" w:hAnsi="Calibri"/>
                <w:sz w:val="22"/>
              </w:rPr>
              <w:t>Up modestly sequentially; ~43% of sales; high single-digit YoY growth</w:t>
            </w:r>
          </w:p>
        </w:tc>
        <w:tc>
          <w:tcPr>
            <w:tcW w:type="dxa" w:w="1728"/>
          </w:tcPr>
          <w:p>
            <w:r>
              <w:rPr>
                <w:rFonts w:ascii="Calibri" w:hAnsi="Calibri"/>
                <w:sz w:val="22"/>
              </w:rPr>
              <w:t>—</w:t>
            </w:r>
          </w:p>
        </w:tc>
        <w:tc>
          <w:tcPr>
            <w:tcW w:type="dxa" w:w="1728"/>
          </w:tcPr>
          <w:p>
            <w:r>
              <w:rPr>
                <w:rFonts w:ascii="Calibri" w:hAnsi="Calibri"/>
                <w:sz w:val="22"/>
              </w:rPr>
              <w:t>$400.5M (vs. $396.4M in Q2)</w:t>
            </w:r>
          </w:p>
        </w:tc>
        <w:tc>
          <w:tcPr>
            <w:tcW w:type="dxa" w:w="1728"/>
          </w:tcPr>
          <w:p>
            <w:r>
              <w:rPr>
                <w:rFonts w:ascii="Calibri" w:hAnsi="Calibri"/>
                <w:sz w:val="22"/>
              </w:rPr>
              <w:t>Consensus implies ~+1% sequential, +9.2% YoY — consistent with guidance</w:t>
            </w:r>
          </w:p>
        </w:tc>
      </w:tr>
    </w:tbl>
    <w:p>
      <w:r>
        <w:rPr>
          <w:rFonts w:ascii="Calibri" w:hAnsi="Calibri"/>
          <w:color w:val="525866"/>
          <w:sz w:val="22"/>
        </w:rPr>
        <w:t>Source: Q2 FY2026 earnings call transcript (May 5,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May 5 print — Q3 FY2026 revenue and EPS consensus have not moved at all, and FY2026 estimates have barely budged (−0.1% on revenue, −0.05% on EPS) — suggesting the Street is comfortable anchoring to guidance with no incremental positive or negative data points to drive revisions. </w:t>
      </w:r>
      <w:r>
        <w:rPr>
          <w:rFonts w:ascii="Calibri" w:hAnsi="Calibri"/>
          <w:b/>
          <w:color w:val="525866"/>
          <w:sz w:val="22"/>
        </w:rPr>
        <w:t>The flat revision trajectory is neither a tailwind nor a headwind</w:t>
      </w:r>
      <w:r>
        <w:rPr>
          <w:rFonts w:ascii="Calibri" w:hAnsi="Calibri"/>
          <w:color w:val="525866"/>
          <w:sz w:val="22"/>
        </w:rPr>
        <w:t>; the print itself will be the catalyst.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Last Earnings (c. May 12, 2026)</w:t>
            </w:r>
          </w:p>
        </w:tc>
        <w:tc>
          <w:tcPr>
            <w:tcW w:type="dxa" w:w="1080"/>
            <w:shd w:val="clear" w:color="auto" w:fill="3B4259"/>
          </w:tcPr>
          <w:p>
            <w:r>
              <w:rPr>
                <w:rFonts w:ascii="Calibri" w:hAnsi="Calibri"/>
                <w:b/>
                <w:color w:val="FFFFFF"/>
                <w:sz w:val="22"/>
              </w:rPr>
              <w:t>Current Consensus (July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5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Net Revenue — Q3 FY2026</w:t>
            </w:r>
          </w:p>
        </w:tc>
        <w:tc>
          <w:tcPr>
            <w:tcW w:type="dxa" w:w="1080"/>
          </w:tcPr>
          <w:p>
            <w:r>
              <w:rPr>
                <w:rFonts w:ascii="Calibri" w:hAnsi="Calibri"/>
                <w:sz w:val="22"/>
              </w:rPr>
              <w:t>$926.1M</w:t>
            </w:r>
          </w:p>
        </w:tc>
        <w:tc>
          <w:tcPr>
            <w:tcW w:type="dxa" w:w="1080"/>
          </w:tcPr>
          <w:p>
            <w:r>
              <w:rPr>
                <w:rFonts w:ascii="Calibri" w:hAnsi="Calibri"/>
                <w:sz w:val="22"/>
              </w:rPr>
              <w:t>$926.1M</w:t>
            </w:r>
          </w:p>
        </w:tc>
        <w:tc>
          <w:tcPr>
            <w:tcW w:type="dxa" w:w="1080"/>
          </w:tcPr>
          <w:p>
            <w:r>
              <w:rPr>
                <w:rFonts w:ascii="Calibri" w:hAnsi="Calibri"/>
                <w:sz w:val="22"/>
              </w:rPr>
              <w:t>0.0%</w:t>
            </w:r>
          </w:p>
        </w:tc>
        <w:tc>
          <w:tcPr>
            <w:tcW w:type="dxa" w:w="1080"/>
          </w:tcPr>
          <w:p>
            <w:r>
              <w:rPr>
                <w:rFonts w:ascii="Calibri" w:hAnsi="Calibri"/>
                <w:sz w:val="22"/>
              </w:rPr>
              <w:t>$900M–$950M (mid: $925M)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w:t>
            </w:r>
          </w:p>
        </w:tc>
      </w:tr>
      <w:tr>
        <w:tc>
          <w:tcPr>
            <w:tcW w:type="dxa" w:w="1080"/>
          </w:tcPr>
          <w:p>
            <w:r>
              <w:rPr>
                <w:rFonts w:ascii="Calibri" w:hAnsi="Calibri"/>
                <w:sz w:val="22"/>
              </w:rPr>
              <w:t>Net Revenue — FY2026</w:t>
            </w:r>
          </w:p>
        </w:tc>
        <w:tc>
          <w:tcPr>
            <w:tcW w:type="dxa" w:w="1080"/>
          </w:tcPr>
          <w:p>
            <w:r>
              <w:rPr>
                <w:rFonts w:ascii="Calibri" w:hAnsi="Calibri"/>
                <w:sz w:val="22"/>
              </w:rPr>
              <w:t>$3,933.0M</w:t>
            </w:r>
          </w:p>
        </w:tc>
        <w:tc>
          <w:tcPr>
            <w:tcW w:type="dxa" w:w="1080"/>
          </w:tcPr>
          <w:p>
            <w:r>
              <w:rPr>
                <w:rFonts w:ascii="Calibri" w:hAnsi="Calibri"/>
                <w:sz w:val="22"/>
              </w:rPr>
              <w:t>$3,932.0M</w:t>
            </w:r>
          </w:p>
        </w:tc>
        <w:tc>
          <w:tcPr>
            <w:tcW w:type="dxa" w:w="1080"/>
          </w:tcPr>
          <w:p>
            <w:r>
              <w:rPr>
                <w:rFonts w:ascii="Calibri" w:hAnsi="Calibri"/>
                <w:sz w:val="22"/>
              </w:rPr>
              <w:t>−0.03%</w:t>
            </w:r>
          </w:p>
        </w:tc>
        <w:tc>
          <w:tcPr>
            <w:tcW w:type="dxa" w:w="1080"/>
          </w:tcPr>
          <w:p>
            <w:r>
              <w:rPr>
                <w:rFonts w:ascii="Calibri" w:hAnsi="Calibri"/>
                <w:sz w:val="22"/>
              </w:rPr>
              <w:t>No FY guidance provided</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 Diluted Operating — Q3 FY2026</w:t>
            </w:r>
          </w:p>
        </w:tc>
        <w:tc>
          <w:tcPr>
            <w:tcW w:type="dxa" w:w="1080"/>
          </w:tcPr>
          <w:p>
            <w:r>
              <w:rPr>
                <w:rFonts w:ascii="Calibri" w:hAnsi="Calibri"/>
                <w:sz w:val="22"/>
              </w:rPr>
              <w:t>$1.04</w:t>
            </w:r>
          </w:p>
        </w:tc>
        <w:tc>
          <w:tcPr>
            <w:tcW w:type="dxa" w:w="1080"/>
          </w:tcPr>
          <w:p>
            <w:r>
              <w:rPr>
                <w:rFonts w:ascii="Calibri" w:hAnsi="Calibri"/>
                <w:sz w:val="22"/>
              </w:rPr>
              <w:t>$1.04</w:t>
            </w:r>
          </w:p>
        </w:tc>
        <w:tc>
          <w:tcPr>
            <w:tcW w:type="dxa" w:w="1080"/>
          </w:tcPr>
          <w:p>
            <w:r>
              <w:rPr>
                <w:rFonts w:ascii="Calibri" w:hAnsi="Calibri"/>
                <w:sz w:val="22"/>
              </w:rPr>
              <w:t>0.0%</w:t>
            </w:r>
          </w:p>
        </w:tc>
        <w:tc>
          <w:tcPr>
            <w:tcW w:type="dxa" w:w="1080"/>
          </w:tcPr>
          <w:p>
            <w:r>
              <w:rPr>
                <w:rFonts w:ascii="Calibri" w:hAnsi="Calibri"/>
                <w:sz w:val="22"/>
              </w:rPr>
              <w:t>~$1.03 (at $925M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w:t>
            </w:r>
          </w:p>
        </w:tc>
      </w:tr>
      <w:tr>
        <w:tc>
          <w:tcPr>
            <w:tcW w:type="dxa" w:w="1080"/>
          </w:tcPr>
          <w:p>
            <w:r>
              <w:rPr>
                <w:rFonts w:ascii="Calibri" w:hAnsi="Calibri"/>
                <w:sz w:val="22"/>
              </w:rPr>
              <w:t>EPS — Diluted Operating — FY2026</w:t>
            </w:r>
          </w:p>
        </w:tc>
        <w:tc>
          <w:tcPr>
            <w:tcW w:type="dxa" w:w="1080"/>
          </w:tcPr>
          <w:p>
            <w:r>
              <w:rPr>
                <w:rFonts w:ascii="Calibri" w:hAnsi="Calibri"/>
                <w:sz w:val="22"/>
              </w:rPr>
              <w:t>$4.956</w:t>
            </w:r>
          </w:p>
        </w:tc>
        <w:tc>
          <w:tcPr>
            <w:tcW w:type="dxa" w:w="1080"/>
          </w:tcPr>
          <w:p>
            <w:r>
              <w:rPr>
                <w:rFonts w:ascii="Calibri" w:hAnsi="Calibri"/>
                <w:sz w:val="22"/>
              </w:rPr>
              <w:t>$4.953</w:t>
            </w:r>
          </w:p>
        </w:tc>
        <w:tc>
          <w:tcPr>
            <w:tcW w:type="dxa" w:w="1080"/>
          </w:tcPr>
          <w:p>
            <w:r>
              <w:rPr>
                <w:rFonts w:ascii="Calibri" w:hAnsi="Calibri"/>
                <w:sz w:val="22"/>
              </w:rPr>
              <w:t>−0.05%</w:t>
            </w:r>
          </w:p>
        </w:tc>
        <w:tc>
          <w:tcPr>
            <w:tcW w:type="dxa" w:w="1080"/>
          </w:tcPr>
          <w:p>
            <w:r>
              <w:rPr>
                <w:rFonts w:ascii="Calibri" w:hAnsi="Calibri"/>
                <w:sz w:val="22"/>
              </w:rPr>
              <w:t>No FY guidance provided</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revision history data (weekly frequency, May 12 – July 27, 2026). The near-zero estimate movement since the May 5 print is notable: it confirms the Street has fully digested guidance and is not pricing in incremental upside or downside. Any beat on Broad Markets growth or a positive Qorvo merger update would represent unmodeled upside.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SWKS has dramatically underperformed both SOXX and the S&amp;P 500 since the May 5 earnings print, falling ~17% vs. SOXX up ~7% and S&amp;P 500 up ~2% — the underperformance is driven almost entirely by </w:t>
      </w:r>
      <w:r>
        <w:rPr>
          <w:rFonts w:ascii="Calibri" w:hAnsi="Calibri"/>
          <w:b/>
          <w:color w:val="525866"/>
          <w:sz w:val="22"/>
        </w:rPr>
        <w:t>multiple compression</w:t>
      </w:r>
      <w:r>
        <w:rPr>
          <w:rFonts w:ascii="Calibri" w:hAnsi="Calibri"/>
          <w:color w:val="525866"/>
          <w:sz w:val="22"/>
        </w:rPr>
        <w:t xml:space="preserve"> (NTM P/E contracted from ~13.7x to ~11.6x, EV/EBITDA from ~8.3x to ~6.9x) rather than estimate cuts, suggesting the market is applying a higher risk discount to the Qorvo merger overhang and mobile demand uncertainty rather than revising down the fundamental earnings outlook.</w:t>
      </w:r>
    </w:p>
    <w:p>
      <w:r>
        <w:rPr>
          <w:rFonts w:ascii="Calibri" w:hAnsi="Calibri"/>
          <w:b/>
          <w:color w:val="525866"/>
          <w:sz w:val="22"/>
        </w:rPr>
        <w:t>Chart: SWKS vs. SOXX vs. S&amp;P 500 — Indexed to 100 at May 5,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SWKS (Indexed)</w:t>
            </w:r>
          </w:p>
        </w:tc>
        <w:tc>
          <w:tcPr>
            <w:tcW w:type="dxa" w:w="2160"/>
            <w:shd w:val="clear" w:color="auto" w:fill="3B4259"/>
          </w:tcPr>
          <w:p>
            <w:r>
              <w:rPr>
                <w:rFonts w:ascii="Calibri" w:hAnsi="Calibri"/>
                <w:b/>
                <w:color w:val="FFFFFF"/>
                <w:sz w:val="22"/>
              </w:rPr>
              <w:t>SOXX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5,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22, 2026 (Peak)</w:t>
            </w:r>
          </w:p>
        </w:tc>
        <w:tc>
          <w:tcPr>
            <w:tcW w:type="dxa" w:w="2160"/>
          </w:tcPr>
          <w:p>
            <w:r>
              <w:rPr>
                <w:rFonts w:ascii="Calibri" w:hAnsi="Calibri"/>
                <w:sz w:val="22"/>
              </w:rPr>
              <w:t>113.6</w:t>
            </w:r>
          </w:p>
        </w:tc>
        <w:tc>
          <w:tcPr>
            <w:tcW w:type="dxa" w:w="2160"/>
          </w:tcPr>
          <w:p>
            <w:r>
              <w:rPr>
                <w:rFonts w:ascii="Calibri" w:hAnsi="Calibri"/>
                <w:sz w:val="22"/>
              </w:rPr>
              <w:t>111.3</w:t>
            </w:r>
          </w:p>
        </w:tc>
        <w:tc>
          <w:tcPr>
            <w:tcW w:type="dxa" w:w="2160"/>
          </w:tcPr>
          <w:p>
            <w:r>
              <w:rPr>
                <w:rFonts w:ascii="Calibri" w:hAnsi="Calibri"/>
                <w:sz w:val="22"/>
              </w:rPr>
              <w:t>103.0</w:t>
            </w:r>
          </w:p>
        </w:tc>
      </w:tr>
      <w:tr>
        <w:tc>
          <w:tcPr>
            <w:tcW w:type="dxa" w:w="2160"/>
          </w:tcPr>
          <w:p>
            <w:r>
              <w:rPr>
                <w:rFonts w:ascii="Calibri" w:hAnsi="Calibri"/>
                <w:sz w:val="22"/>
              </w:rPr>
              <w:t>June 5, 2026 (AVGO earnings selloff)</w:t>
            </w:r>
          </w:p>
        </w:tc>
        <w:tc>
          <w:tcPr>
            <w:tcW w:type="dxa" w:w="2160"/>
          </w:tcPr>
          <w:p>
            <w:r>
              <w:rPr>
                <w:rFonts w:ascii="Calibri" w:hAnsi="Calibri"/>
                <w:sz w:val="22"/>
              </w:rPr>
              <w:t>101.4</w:t>
            </w:r>
          </w:p>
        </w:tc>
        <w:tc>
          <w:tcPr>
            <w:tcW w:type="dxa" w:w="2160"/>
          </w:tcPr>
          <w:p>
            <w:r>
              <w:rPr>
                <w:rFonts w:ascii="Calibri" w:hAnsi="Calibri"/>
                <w:sz w:val="22"/>
              </w:rPr>
              <w:t>111.8</w:t>
            </w:r>
          </w:p>
        </w:tc>
        <w:tc>
          <w:tcPr>
            <w:tcW w:type="dxa" w:w="2160"/>
          </w:tcPr>
          <w:p>
            <w:r>
              <w:rPr>
                <w:rFonts w:ascii="Calibri" w:hAnsi="Calibri"/>
                <w:sz w:val="22"/>
              </w:rPr>
              <w:t>101.9</w:t>
            </w:r>
          </w:p>
        </w:tc>
      </w:tr>
      <w:tr>
        <w:tc>
          <w:tcPr>
            <w:tcW w:type="dxa" w:w="2160"/>
          </w:tcPr>
          <w:p>
            <w:r>
              <w:rPr>
                <w:rFonts w:ascii="Calibri" w:hAnsi="Calibri"/>
                <w:sz w:val="22"/>
              </w:rPr>
              <w:t>June 22, 2026 (SOXX peak)</w:t>
            </w:r>
          </w:p>
        </w:tc>
        <w:tc>
          <w:tcPr>
            <w:tcW w:type="dxa" w:w="2160"/>
          </w:tcPr>
          <w:p>
            <w:r>
              <w:rPr>
                <w:rFonts w:ascii="Calibri" w:hAnsi="Calibri"/>
                <w:sz w:val="22"/>
              </w:rPr>
              <w:t>105.0</w:t>
            </w:r>
          </w:p>
        </w:tc>
        <w:tc>
          <w:tcPr>
            <w:tcW w:type="dxa" w:w="2160"/>
          </w:tcPr>
          <w:p>
            <w:r>
              <w:rPr>
                <w:rFonts w:ascii="Calibri" w:hAnsi="Calibri"/>
                <w:sz w:val="22"/>
              </w:rPr>
              <w:t>135.7</w:t>
            </w:r>
          </w:p>
        </w:tc>
        <w:tc>
          <w:tcPr>
            <w:tcW w:type="dxa" w:w="2160"/>
          </w:tcPr>
          <w:p>
            <w:r>
              <w:rPr>
                <w:rFonts w:ascii="Calibri" w:hAnsi="Calibri"/>
                <w:sz w:val="22"/>
              </w:rPr>
              <w:t>102.8</w:t>
            </w:r>
          </w:p>
        </w:tc>
      </w:tr>
      <w:tr>
        <w:tc>
          <w:tcPr>
            <w:tcW w:type="dxa" w:w="2160"/>
          </w:tcPr>
          <w:p>
            <w:r>
              <w:rPr>
                <w:rFonts w:ascii="Calibri" w:hAnsi="Calibri"/>
                <w:sz w:val="22"/>
              </w:rPr>
              <w:t>July 14, 2026 (SWKS trough)</w:t>
            </w:r>
          </w:p>
        </w:tc>
        <w:tc>
          <w:tcPr>
            <w:tcW w:type="dxa" w:w="2160"/>
          </w:tcPr>
          <w:p>
            <w:r>
              <w:rPr>
                <w:rFonts w:ascii="Calibri" w:hAnsi="Calibri"/>
                <w:sz w:val="22"/>
              </w:rPr>
              <w:t>78.0</w:t>
            </w:r>
          </w:p>
        </w:tc>
        <w:tc>
          <w:tcPr>
            <w:tcW w:type="dxa" w:w="2160"/>
          </w:tcPr>
          <w:p>
            <w:r>
              <w:rPr>
                <w:rFonts w:ascii="Calibri" w:hAnsi="Calibri"/>
                <w:sz w:val="22"/>
              </w:rPr>
              <w:t>117.6</w:t>
            </w:r>
          </w:p>
        </w:tc>
        <w:tc>
          <w:tcPr>
            <w:tcW w:type="dxa" w:w="2160"/>
          </w:tcPr>
          <w:p>
            <w:r>
              <w:rPr>
                <w:rFonts w:ascii="Calibri" w:hAnsi="Calibri"/>
                <w:sz w:val="22"/>
              </w:rPr>
              <w:t>103.9</w:t>
            </w:r>
          </w:p>
        </w:tc>
      </w:tr>
      <w:tr>
        <w:tc>
          <w:tcPr>
            <w:tcW w:type="dxa" w:w="2160"/>
          </w:tcPr>
          <w:p>
            <w:r>
              <w:rPr>
                <w:rFonts w:ascii="Calibri" w:hAnsi="Calibri"/>
                <w:sz w:val="22"/>
              </w:rPr>
              <w:t>July 28, 2026 (Latest)</w:t>
            </w:r>
          </w:p>
        </w:tc>
        <w:tc>
          <w:tcPr>
            <w:tcW w:type="dxa" w:w="2160"/>
          </w:tcPr>
          <w:p>
            <w:r>
              <w:rPr>
                <w:rFonts w:ascii="Calibri" w:hAnsi="Calibri"/>
                <w:sz w:val="22"/>
              </w:rPr>
              <w:t>87.4</w:t>
            </w:r>
          </w:p>
        </w:tc>
        <w:tc>
          <w:tcPr>
            <w:tcW w:type="dxa" w:w="2160"/>
          </w:tcPr>
          <w:p>
            <w:r>
              <w:rPr>
                <w:rFonts w:ascii="Calibri" w:hAnsi="Calibri"/>
                <w:sz w:val="22"/>
              </w:rPr>
              <w:t>106.9</w:t>
            </w:r>
          </w:p>
        </w:tc>
        <w:tc>
          <w:tcPr>
            <w:tcW w:type="dxa" w:w="2160"/>
          </w:tcPr>
          <w:p>
            <w:r>
              <w:rPr>
                <w:rFonts w:ascii="Calibri" w:hAnsi="Calibri"/>
                <w:sz w:val="22"/>
              </w:rPr>
              <w:t>102.1</w:t>
            </w:r>
          </w:p>
        </w:tc>
      </w:tr>
    </w:tbl>
    <w:p>
      <w:r>
        <w:rPr>
          <w:rFonts w:ascii="Calibri" w:hAnsi="Calibri"/>
          <w:b/>
          <w:color w:val="525866"/>
          <w:sz w:val="22"/>
        </w:rPr>
        <w:t>Key Events Since May 5, 2026:</w:t>
      </w:r>
    </w:p>
    <w:p>
      <w:pPr>
        <w:pStyle w:val="ListBullet"/>
        <w:ind w:left="360" w:hanging="360"/>
      </w:pPr>
      <w:r>
        <w:rPr>
          <w:rFonts w:ascii="Calibri" w:hAnsi="Calibri"/>
          <w:b/>
          <w:color w:val="525866"/>
          <w:sz w:val="22"/>
        </w:rPr>
        <w:t>May 5, 2026:</w:t>
      </w:r>
      <w:r>
        <w:rPr>
          <w:rFonts w:ascii="Calibri" w:hAnsi="Calibri"/>
          <w:color w:val="525866"/>
          <w:sz w:val="22"/>
        </w:rPr>
        <w:t xml:space="preserve"> Q2 FY2026 earnings beat; Q3 guidance above consensus. Stock fell modestly in aftermarket despite strong print.</w:t>
      </w:r>
    </w:p>
    <w:p>
      <w:pPr>
        <w:pStyle w:val="ListBullet"/>
        <w:ind w:left="360" w:hanging="360"/>
      </w:pPr>
      <w:r>
        <w:rPr>
          <w:rFonts w:ascii="Calibri" w:hAnsi="Calibri"/>
          <w:b/>
          <w:color w:val="525866"/>
          <w:sz w:val="22"/>
        </w:rPr>
        <w:t>May 22, 2026:</w:t>
      </w:r>
      <w:r>
        <w:rPr>
          <w:rFonts w:ascii="Calibri" w:hAnsi="Calibri"/>
          <w:color w:val="525866"/>
          <w:sz w:val="22"/>
        </w:rPr>
        <w:t xml:space="preserve"> SWKS reached post-earnings peak of ~$82.42 (+13.6% from earnings day close).</w:t>
      </w:r>
    </w:p>
    <w:p>
      <w:pPr>
        <w:pStyle w:val="ListBullet"/>
        <w:ind w:left="360" w:hanging="360"/>
      </w:pPr>
      <w:r>
        <w:rPr>
          <w:rFonts w:ascii="Calibri" w:hAnsi="Calibri"/>
          <w:b/>
          <w:color w:val="525866"/>
          <w:sz w:val="22"/>
        </w:rPr>
        <w:t>June 4–5, 2026:</w:t>
      </w:r>
      <w:r>
        <w:rPr>
          <w:rFonts w:ascii="Calibri" w:hAnsi="Calibri"/>
          <w:color w:val="525866"/>
          <w:sz w:val="22"/>
        </w:rPr>
        <w:t xml:space="preserve"> Broadcom (AVGO) earnings selloff on disappointing AI guidance dragged semiconductor sector lower; SWKS fell ~11% over two days.</w:t>
      </w:r>
    </w:p>
    <w:p>
      <w:pPr>
        <w:pStyle w:val="ListBullet"/>
        <w:ind w:left="360" w:hanging="360"/>
      </w:pPr>
      <w:r>
        <w:rPr>
          <w:rFonts w:ascii="Calibri" w:hAnsi="Calibri"/>
          <w:b/>
          <w:color w:val="525866"/>
          <w:sz w:val="22"/>
        </w:rPr>
        <w:t>June 11, 2026:</w:t>
      </w:r>
      <w:r>
        <w:rPr>
          <w:rFonts w:ascii="Calibri" w:hAnsi="Calibri"/>
          <w:color w:val="525866"/>
          <w:sz w:val="22"/>
        </w:rPr>
        <w:t xml:space="preserve"> SWKS filed 8-K announcing early participation results for Qorvo debt exchange offers — merger process progressing.</w:t>
      </w:r>
    </w:p>
    <w:p>
      <w:pPr>
        <w:pStyle w:val="ListBullet"/>
        <w:ind w:left="360" w:hanging="360"/>
      </w:pPr>
      <w:r>
        <w:rPr>
          <w:rFonts w:ascii="Calibri" w:hAnsi="Calibri"/>
          <w:b/>
          <w:color w:val="525866"/>
          <w:sz w:val="22"/>
        </w:rPr>
        <w:t>June 22, 2026:</w:t>
      </w:r>
      <w:r>
        <w:rPr>
          <w:rFonts w:ascii="Calibri" w:hAnsi="Calibri"/>
          <w:color w:val="525866"/>
          <w:sz w:val="22"/>
        </w:rPr>
        <w:t xml:space="preserve"> SOXX peaked at ~135.7 indexed; SWKS diverged sharply, underperforming by ~30 percentage points from peak.</w:t>
      </w:r>
    </w:p>
    <w:p>
      <w:pPr>
        <w:pStyle w:val="ListBullet"/>
        <w:ind w:left="360" w:hanging="360"/>
      </w:pPr>
      <w:r>
        <w:rPr>
          <w:rFonts w:ascii="Calibri" w:hAnsi="Calibri"/>
          <w:b/>
          <w:color w:val="525866"/>
          <w:sz w:val="22"/>
        </w:rPr>
        <w:t>July 14–15, 2026:</w:t>
      </w:r>
      <w:r>
        <w:rPr>
          <w:rFonts w:ascii="Calibri" w:hAnsi="Calibri"/>
          <w:color w:val="525866"/>
          <w:sz w:val="22"/>
        </w:rPr>
        <w:t xml:space="preserve"> SWKS hit trough of ~$56.58 (−22% from earnings day); company announced Q3 FY2026 earnings date of July 28.</w:t>
      </w:r>
    </w:p>
    <w:p>
      <w:r>
        <w:rPr>
          <w:rFonts w:ascii="Calibri" w:hAnsi="Calibri"/>
          <w:b/>
          <w:color w:val="525866"/>
          <w:sz w:val="22"/>
        </w:rPr>
        <w:t>Valuation Context:</w:t>
      </w:r>
      <w:r>
        <w:rPr>
          <w:rFonts w:ascii="Calibri" w:hAnsi="Calibri"/>
          <w:color w:val="525866"/>
          <w:sz w:val="22"/>
        </w:rPr>
        <w:t xml:space="preserve"> NTM P/E has compressed from ~13.7x (at May 5 earnings) to ~11.6x currently, while NTM EV/EBITDA compressed from ~8.3x to ~6.9x. This multiple compression — not estimate cuts — is the primary driver of underperformance. At 11.6x NTM P/E, SWKS trades at a steep discount to the semiconductor sector (40x+) and even to its own historical trough multiples, suggesting the market is pricing in significant execution or merger risk.</w:t>
      </w:r>
    </w:p>
    <w:p>
      <w:r>
        <w:rPr>
          <w:rFonts w:ascii="Calibri" w:hAnsi="Calibri"/>
          <w:color w:val="525866"/>
          <w:sz w:val="22"/>
        </w:rPr>
        <w:t>Source: Stock price data (Yahoo Finance); SOXX ETF (iShares Semiconductor ETF — appropriate sub-sector benchmark for RF/analog semiconductors); S&amp;P 500 (SPY); valuation multiples from stock performance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May 5 earnings call is the </w:t>
      </w:r>
      <w:r>
        <w:rPr>
          <w:rFonts w:ascii="Calibri" w:hAnsi="Calibri"/>
          <w:b/>
          <w:color w:val="525866"/>
          <w:sz w:val="22"/>
        </w:rPr>
        <w:t>Qorvo debt exchange offer progress (June 11)</w:t>
      </w:r>
      <w:r>
        <w:rPr>
          <w:rFonts w:ascii="Calibri" w:hAnsi="Calibri"/>
          <w:color w:val="525866"/>
          <w:sz w:val="22"/>
        </w:rPr>
        <w:t>, which signals the merger is advancing toward close; combined with Qualcomm’s June 24 warning about mobile market memory uncertainty, the setup is one where merger execution and Broad Markets momentum are the two key variables heading into the print.</w:t>
      </w:r>
    </w:p>
    <w:p>
      <w:pPr>
        <w:pStyle w:val="ListBullet"/>
        <w:ind w:left="360" w:hanging="360"/>
      </w:pPr>
      <w:r>
        <w:rPr>
          <w:rFonts w:ascii="Calibri" w:hAnsi="Calibri"/>
          <w:b/>
          <w:color w:val="525866"/>
          <w:sz w:val="22"/>
        </w:rPr>
        <w:t>July 28, 2026 — Q3 FY2026 Earnings Release (Today):</w:t>
      </w:r>
      <w:r>
        <w:rPr>
          <w:rFonts w:ascii="Calibri" w:hAnsi="Calibri"/>
          <w:color w:val="525866"/>
          <w:sz w:val="22"/>
        </w:rPr>
        <w:t xml:space="preserve"> Skyworks reports Q3 FY2026 results after market close at 4:30 p.m. EDT. Conference call to follow. Announced July 15, 2026.</w:t>
      </w:r>
    </w:p>
    <w:p>
      <w:pPr>
        <w:pStyle w:val="ListBullet"/>
        <w:ind w:left="360" w:hanging="360"/>
      </w:pPr>
      <w:r>
        <w:rPr>
          <w:rFonts w:ascii="Calibri" w:hAnsi="Calibri"/>
          <w:b/>
          <w:color w:val="525866"/>
          <w:sz w:val="22"/>
        </w:rPr>
        <w:t>July 24, 2026 — Qualcomm Price Hike Signal:</w:t>
      </w:r>
      <w:r>
        <w:rPr>
          <w:rFonts w:ascii="Calibri" w:hAnsi="Calibri"/>
          <w:color w:val="525866"/>
          <w:sz w:val="22"/>
        </w:rPr>
        <w:t xml:space="preserve"> Qualcomm announced plans to implement </w:t>
      </w:r>
      <w:r>
        <w:rPr>
          <w:rFonts w:ascii="Calibri" w:hAnsi="Calibri"/>
          <w:b/>
          <w:color w:val="525866"/>
          <w:sz w:val="22"/>
        </w:rPr>
        <w:t>significant double-digit price increases</w:t>
      </w:r>
      <w:r>
        <w:rPr>
          <w:rFonts w:ascii="Calibri" w:hAnsi="Calibri"/>
          <w:color w:val="525866"/>
          <w:sz w:val="22"/>
        </w:rPr>
        <w:t xml:space="preserve"> for its chips, the latest sign of inflationary pressure in the tech industry. Read-through for SWKS: validates the pricing power environment and supports SWKS’s own selective price increase strategy on long-life products to offset gold and expedite fee headwinds. May also signal tighter supply conditions that could benefit SWKS’s content positioning.</w:t>
      </w:r>
    </w:p>
    <w:p>
      <w:pPr>
        <w:pStyle w:val="ListBullet"/>
        <w:ind w:left="360" w:hanging="360"/>
      </w:pPr>
      <w:r>
        <w:rPr>
          <w:rFonts w:ascii="Calibri" w:hAnsi="Calibri"/>
          <w:b/>
          <w:color w:val="525866"/>
          <w:sz w:val="22"/>
        </w:rPr>
        <w:t>July 27, 2026 — Broadcom-Samsung $200B Partnership:</w:t>
      </w:r>
      <w:r>
        <w:rPr>
          <w:rFonts w:ascii="Calibri" w:hAnsi="Calibri"/>
          <w:color w:val="525866"/>
          <w:sz w:val="22"/>
        </w:rPr>
        <w:t xml:space="preserve"> Broadcom announced an expanded MOU with Samsung Electronics across memory and semiconductor technologies, with the collaboration expected to be worth more than </w:t>
      </w:r>
      <w:r>
        <w:rPr>
          <w:rFonts w:ascii="Calibri" w:hAnsi="Calibri"/>
          <w:b/>
          <w:color w:val="525866"/>
          <w:sz w:val="22"/>
        </w:rPr>
        <w:t>$200 billion over five years through 2030</w:t>
      </w:r>
      <w:r>
        <w:rPr>
          <w:rFonts w:ascii="Calibri" w:hAnsi="Calibri"/>
          <w:color w:val="525866"/>
          <w:sz w:val="22"/>
        </w:rPr>
        <w:t>. J.P. Morgan estimated the deal implies more than $1 trillion in cumulative Broadcom AI revenue. Limited direct read-through to SWKS, but signals continued hyperscaler AI investment that supports SWKS’s data center timing/power business.</w:t>
      </w:r>
    </w:p>
    <w:p>
      <w:pPr>
        <w:pStyle w:val="ListBullet"/>
        <w:ind w:left="360" w:hanging="360"/>
      </w:pPr>
      <w:r>
        <w:rPr>
          <w:rFonts w:ascii="Calibri" w:hAnsi="Calibri"/>
          <w:b/>
          <w:color w:val="525866"/>
          <w:sz w:val="22"/>
        </w:rPr>
        <w:t>June 24, 2026 — Qualcomm Investor Day (Mobile Market Commentary):</w:t>
      </w:r>
      <w:r>
        <w:rPr>
          <w:rFonts w:ascii="Calibri" w:hAnsi="Calibri"/>
          <w:color w:val="525866"/>
          <w:sz w:val="22"/>
        </w:rPr>
        <w:t xml:space="preserve"> Qualcomm CEO Cristiano Amon stated the “</w:t>
      </w:r>
      <w:r>
        <w:rPr>
          <w:rFonts w:ascii="Calibri" w:hAnsi="Calibri"/>
          <w:b/>
          <w:color w:val="525866"/>
          <w:sz w:val="22"/>
        </w:rPr>
        <w:t>mobile market is dealing with the uncertainty of the memory situation</w:t>
      </w:r>
      <w:r>
        <w:rPr>
          <w:rFonts w:ascii="Calibri" w:hAnsi="Calibri"/>
          <w:color w:val="525866"/>
          <w:sz w:val="22"/>
        </w:rPr>
        <w:t>” and that timing is “hard to predict right now.” Negative read-through for SWKS’s mobile segment — memory uncertainty could dampen handset OEM production planning and order visibility for Q3. Qualcomm CFO noted Android handset growth of 12% historically but acknowledged near-term uncertainty.</w:t>
      </w:r>
    </w:p>
    <w:p>
      <w:pPr>
        <w:pStyle w:val="ListBullet"/>
        <w:ind w:left="360" w:hanging="360"/>
      </w:pPr>
      <w:r>
        <w:rPr>
          <w:rFonts w:ascii="Calibri" w:hAnsi="Calibri"/>
          <w:b/>
          <w:color w:val="525866"/>
          <w:sz w:val="22"/>
        </w:rPr>
        <w:t>June 11, 2026 — Qorvo Debt Exchange Offer Early Participation Results (8-K):</w:t>
      </w:r>
      <w:r>
        <w:rPr>
          <w:rFonts w:ascii="Calibri" w:hAnsi="Calibri"/>
          <w:color w:val="525866"/>
          <w:sz w:val="22"/>
        </w:rPr>
        <w:t xml:space="preserve"> SWKS announced early participation results for exchange offers on Qorvo’s outstanding 4.375% Senior Notes due 2029 and 3.375% Senior Notes due 2031. Signals the </w:t>
      </w:r>
      <w:r>
        <w:rPr>
          <w:rFonts w:ascii="Calibri" w:hAnsi="Calibri"/>
          <w:b/>
          <w:color w:val="525866"/>
          <w:sz w:val="22"/>
        </w:rPr>
        <w:t>merger financing process is advancing</w:t>
      </w:r>
      <w:r>
        <w:rPr>
          <w:rFonts w:ascii="Calibri" w:hAnsi="Calibri"/>
          <w:color w:val="525866"/>
          <w:sz w:val="22"/>
        </w:rPr>
        <w:t>; management had expressed increasing optimism for a late-2026 close vs. formal early-2027 guidance. China SAMR Phase 2 review remains the key gating item.</w:t>
      </w:r>
    </w:p>
    <w:p>
      <w:pPr>
        <w:pStyle w:val="ListBullet"/>
        <w:ind w:left="360" w:hanging="360"/>
      </w:pPr>
      <w:r>
        <w:rPr>
          <w:rFonts w:ascii="Calibri" w:hAnsi="Calibri"/>
          <w:b/>
          <w:color w:val="525866"/>
          <w:sz w:val="22"/>
        </w:rPr>
        <w:t>May 5, 2026 — Q2 FY2026 Earnings Beat + Android Design Win Announcement:</w:t>
      </w:r>
      <w:r>
        <w:rPr>
          <w:rFonts w:ascii="Calibri" w:hAnsi="Calibri"/>
          <w:color w:val="525866"/>
          <w:sz w:val="22"/>
        </w:rPr>
        <w:t xml:space="preserve"> SWKS reported Q2 revenue of $943.7M (beat high end of guidance) and operating EPS of $1.15 ($0.11 above guidance midpoint). Announced a </w:t>
      </w:r>
      <w:r>
        <w:rPr>
          <w:rFonts w:ascii="Calibri" w:hAnsi="Calibri"/>
          <w:b/>
          <w:color w:val="525866"/>
          <w:sz w:val="22"/>
        </w:rPr>
        <w:t>multi-generational Android OEM design win expected to generate over $1 billion in revenue through 2030</w:t>
      </w:r>
      <w:r>
        <w:rPr>
          <w:rFonts w:ascii="Calibri" w:hAnsi="Calibri"/>
          <w:color w:val="525866"/>
          <w:sz w:val="22"/>
        </w:rPr>
        <w:t xml:space="preserve"> at premium gross margins. Q3 guidance came in materially above Street consensus. Stock fell modestly in aftermarket despite the strong print.</w:t>
      </w:r>
    </w:p>
    <w:p>
      <w:r>
        <w:br w:type="page"/>
      </w:r>
    </w:p>
    <w:p>
      <w:pPr>
        <w:pStyle w:val="Heading2"/>
      </w:pPr>
      <w:r>
        <w:rPr>
          <w:rFonts w:ascii="Calibri" w:hAnsi="Calibri"/>
          <w:b/>
          <w:color w:val="3B4259"/>
          <w:sz w:val="28"/>
        </w:rPr>
        <w:t>7. Peer Commentaries in the Last 60 Days</w:t>
      </w:r>
    </w:p>
    <w:p>
      <w:r>
        <w:rPr>
          <w:rFonts w:ascii="Calibri" w:hAnsi="Calibri"/>
          <w:b/>
          <w:color w:val="525866"/>
          <w:sz w:val="22"/>
        </w:rPr>
        <w:t xml:space="preserve">Key Takeaway: </w:t>
      </w:r>
      <w:r>
        <w:rPr>
          <w:rFonts w:ascii="Calibri" w:hAnsi="Calibri"/>
          <w:color w:val="525866"/>
          <w:sz w:val="22"/>
        </w:rPr>
        <w:t xml:space="preserve">The most actionable peer read-through for SWKS’s June-ended quarter comes from </w:t>
      </w:r>
      <w:r>
        <w:rPr>
          <w:rFonts w:ascii="Calibri" w:hAnsi="Calibri"/>
          <w:b/>
          <w:color w:val="525866"/>
          <w:sz w:val="22"/>
        </w:rPr>
        <w:t>Qualcomm’s June 24 Investor Day</w:t>
      </w:r>
      <w:r>
        <w:rPr>
          <w:rFonts w:ascii="Calibri" w:hAnsi="Calibri"/>
          <w:color w:val="525866"/>
          <w:sz w:val="22"/>
        </w:rPr>
        <w:t>, which flagged mobile market memory uncertainty as a near-term headwind to handset demand visibility — directly relevant to SWKS’s mobile segment. Broadcom’s early June earnings miss on AI guidance is a sector-level sentiment signal but has limited direct fundamental read-through to SWKS’s core RF business.</w:t>
      </w:r>
    </w:p>
    <w:p>
      <w:r>
        <w:rPr>
          <w:rFonts w:ascii="Calibri" w:hAnsi="Calibri"/>
          <w:b/>
          <w:i/>
          <w:color w:val="525866"/>
          <w:sz w:val="22"/>
        </w:rPr>
        <w:t>Methodology Note:</w:t>
      </w:r>
      <w:r>
        <w:rPr>
          <w:rFonts w:ascii="Calibri" w:hAnsi="Calibri"/>
          <w:i/>
          <w:color w:val="525866"/>
          <w:sz w:val="22"/>
        </w:rPr>
        <w:t xml:space="preserve"> Only commentary contemporaneously relevant to SWKS’s current June-ended quarter (Q3 FY2026) is included below. Backward-looking commentary from peers about their own prior-quarter results has been excluded. Commentary is sourced from peer earnings calls, investor days, and press releases occurring after May 5, 2026 (SWKS’s last earnings date).</w:t>
      </w:r>
    </w:p>
    <w:p>
      <w:pPr>
        <w:pStyle w:val="Heading3"/>
      </w:pPr>
      <w:r>
        <w:rPr>
          <w:rFonts w:ascii="Calibri" w:hAnsi="Calibri"/>
          <w:b/>
          <w:color w:val="3B4259"/>
          <w:sz w:val="24"/>
        </w:rPr>
        <w:t>Qualcomm (QCOM) — Investor Day, June 24, 2026</w:t>
      </w:r>
    </w:p>
    <w:p>
      <w:r>
        <w:rPr>
          <w:rFonts w:ascii="Calibri" w:hAnsi="Calibri"/>
          <w:b/>
          <w:color w:val="525866"/>
          <w:sz w:val="22"/>
        </w:rPr>
        <w:t xml:space="preserve">Relevance to SWKS: </w:t>
      </w:r>
      <w:r>
        <w:rPr>
          <w:rFonts w:ascii="Calibri" w:hAnsi="Calibri"/>
          <w:color w:val="525866"/>
          <w:sz w:val="22"/>
        </w:rPr>
        <w:t>High — Qualcomm is SWKS’s closest peer in mobile RF/connectivity semiconductors and shares the same end-market exposure to smartphone OEMs (Apple, Samsung, Android ecosystem).</w:t>
      </w:r>
    </w:p>
    <w:p>
      <w:pPr>
        <w:pStyle w:val="ListBullet"/>
        <w:ind w:left="360" w:hanging="360"/>
      </w:pPr>
      <w:r>
        <w:rPr>
          <w:rFonts w:ascii="Calibri" w:hAnsi="Calibri"/>
          <w:b/>
          <w:color w:val="525866"/>
          <w:sz w:val="22"/>
        </w:rPr>
        <w:t>Mobile Market Memory Uncertainty (Negative Read-Through):</w:t>
      </w:r>
      <w:r>
        <w:rPr>
          <w:rFonts w:ascii="Calibri" w:hAnsi="Calibri"/>
          <w:color w:val="525866"/>
          <w:sz w:val="22"/>
        </w:rPr>
        <w:t xml:space="preserve"> Qualcomm CEO Cristiano Amon stated: “</w:t>
      </w:r>
      <w:r>
        <w:rPr>
          <w:rFonts w:ascii="Calibri" w:hAnsi="Calibri"/>
          <w:i/>
          <w:color w:val="525866"/>
          <w:sz w:val="22"/>
        </w:rPr>
        <w:t>The mobile market is dealing with the uncertainty of the memory situation. The obvious question that everybody is asking — what is the timing? It’s hard to predict the timing right now.</w:t>
      </w:r>
      <w:r>
        <w:rPr>
          <w:rFonts w:ascii="Calibri" w:hAnsi="Calibri"/>
          <w:color w:val="525866"/>
          <w:sz w:val="22"/>
        </w:rPr>
        <w:t>” This is a direct negative read-through for SWKS’s Q3 FY2026 mobile segment. Memory supply uncertainty can cause handset OEMs to defer production planning, reduce component orders, and compress near-term demand visibility for RF suppliers like SWKS. The comment is particularly relevant because SWKS guided mobile revenue to decline low single digits sequentially in Q3 — any incremental demand softness from memory-driven OEM caution could pressure the mobile line.</w:t>
      </w:r>
    </w:p>
    <w:p>
      <w:pPr>
        <w:pStyle w:val="ListBullet"/>
        <w:ind w:left="360" w:hanging="360"/>
      </w:pPr>
      <w:r>
        <w:rPr>
          <w:rFonts w:ascii="Calibri" w:hAnsi="Calibri"/>
          <w:b/>
          <w:color w:val="525866"/>
          <w:sz w:val="22"/>
        </w:rPr>
        <w:t>Android Design Activity Encouraging (Partial Positive Read-Through):</w:t>
      </w:r>
      <w:r>
        <w:rPr>
          <w:rFonts w:ascii="Calibri" w:hAnsi="Calibri"/>
          <w:color w:val="525866"/>
          <w:sz w:val="22"/>
        </w:rPr>
        <w:t xml:space="preserve"> Despite the memory uncertainty, Amon noted: “</w:t>
      </w:r>
      <w:r>
        <w:rPr>
          <w:rFonts w:ascii="Calibri" w:hAnsi="Calibri"/>
          <w:i/>
          <w:color w:val="525866"/>
          <w:sz w:val="22"/>
        </w:rPr>
        <w:t>We are incredibly encouraged with the design activity, the number of new entrants.</w:t>
      </w:r>
      <w:r>
        <w:rPr>
          <w:rFonts w:ascii="Calibri" w:hAnsi="Calibri"/>
          <w:color w:val="525866"/>
          <w:sz w:val="22"/>
        </w:rPr>
        <w:t>” This is a partial positive read-through for SWKS’s newly announced multi-generational Android OEM design win — it suggests the Android ecosystem is actively engaging with component suppliers on next-generation platforms, which supports SWKS’s claim that its Android win is a rising, year-over-year tailwind through 2030.</w:t>
      </w:r>
    </w:p>
    <w:p>
      <w:pPr>
        <w:pStyle w:val="ListBullet"/>
        <w:ind w:left="360" w:hanging="360"/>
      </w:pPr>
      <w:r>
        <w:rPr>
          <w:rFonts w:ascii="Calibri" w:hAnsi="Calibri"/>
          <w:b/>
          <w:color w:val="525866"/>
          <w:sz w:val="22"/>
        </w:rPr>
        <w:t>Android Handset Growth Trend (Contextual):</w:t>
      </w:r>
      <w:r>
        <w:rPr>
          <w:rFonts w:ascii="Calibri" w:hAnsi="Calibri"/>
          <w:color w:val="525866"/>
          <w:sz w:val="22"/>
        </w:rPr>
        <w:t xml:space="preserve"> Qualcomm CFO Akash Palkhiwala noted Android handset revenue grew 12% over a prior period and expects “</w:t>
      </w:r>
      <w:r>
        <w:rPr>
          <w:rFonts w:ascii="Calibri" w:hAnsi="Calibri"/>
          <w:i/>
          <w:color w:val="525866"/>
          <w:sz w:val="22"/>
        </w:rPr>
        <w:t>this trend to continue.</w:t>
      </w:r>
      <w:r>
        <w:rPr>
          <w:rFonts w:ascii="Calibri" w:hAnsi="Calibri"/>
          <w:color w:val="525866"/>
          <w:sz w:val="22"/>
        </w:rPr>
        <w:t>” This is a longer-term directional positive for SWKS’s Android content strategy, though the near-term memory uncertainty caveat tempers the read-through for the June quarter specifically.</w:t>
      </w:r>
    </w:p>
    <w:p>
      <w:pPr>
        <w:pStyle w:val="ListBullet"/>
        <w:ind w:left="360" w:hanging="360"/>
      </w:pPr>
      <w:r>
        <w:rPr>
          <w:rFonts w:ascii="Calibri" w:hAnsi="Calibri"/>
          <w:b/>
          <w:color w:val="525866"/>
          <w:sz w:val="22"/>
        </w:rPr>
        <w:t>Qualcomm Price Increases (Positive Pricing Environment Read-Through):</w:t>
      </w:r>
      <w:r>
        <w:rPr>
          <w:rFonts w:ascii="Calibri" w:hAnsi="Calibri"/>
          <w:color w:val="525866"/>
          <w:sz w:val="22"/>
        </w:rPr>
        <w:t xml:space="preserve"> As of July 24, 2026, Qualcomm announced plans to implement </w:t>
      </w:r>
      <w:r>
        <w:rPr>
          <w:rFonts w:ascii="Calibri" w:hAnsi="Calibri"/>
          <w:b/>
          <w:color w:val="525866"/>
          <w:sz w:val="22"/>
        </w:rPr>
        <w:t>double-digit price increases</w:t>
      </w:r>
      <w:r>
        <w:rPr>
          <w:rFonts w:ascii="Calibri" w:hAnsi="Calibri"/>
          <w:color w:val="525866"/>
          <w:sz w:val="22"/>
        </w:rPr>
        <w:t xml:space="preserve"> for its chips. This validates the broader semiconductor pricing power environment and is consistent with SWKS’s own strategy of passing select input cost increases (gold prices, expedite fees) to customers on long-life products. If Qualcomm can push through double-digit increases, SWKS’s more modest selective price adjustments face less customer pushback.</w:t>
      </w:r>
    </w:p>
    <w:p>
      <w:pPr>
        <w:pStyle w:val="Heading3"/>
      </w:pPr>
      <w:r>
        <w:rPr>
          <w:rFonts w:ascii="Calibri" w:hAnsi="Calibri"/>
          <w:b/>
          <w:color w:val="3B4259"/>
          <w:sz w:val="24"/>
        </w:rPr>
        <w:t>Broadcom (AVGO) — Q2 FY2026 Earnings, June 3–4, 2026</w:t>
      </w:r>
    </w:p>
    <w:p>
      <w:r>
        <w:rPr>
          <w:rFonts w:ascii="Calibri" w:hAnsi="Calibri"/>
          <w:b/>
          <w:color w:val="525866"/>
          <w:sz w:val="22"/>
        </w:rPr>
        <w:t xml:space="preserve">Relevance to SWKS: </w:t>
      </w:r>
      <w:r>
        <w:rPr>
          <w:rFonts w:ascii="Calibri" w:hAnsi="Calibri"/>
          <w:color w:val="525866"/>
          <w:sz w:val="22"/>
        </w:rPr>
        <w:t>Moderate — Broadcom shares Apple as a key customer and has exposure to data center/AI connectivity, which overlaps with SWKS’s nascent AI data center timing/power business. However, Broadcom’s core AI ASIC and networking business has limited direct read-through to SWKS’s RF front-end mobile business.</w:t>
      </w:r>
    </w:p>
    <w:p>
      <w:pPr>
        <w:pStyle w:val="ListBullet"/>
        <w:ind w:left="360" w:hanging="360"/>
      </w:pPr>
      <w:r>
        <w:rPr>
          <w:rFonts w:ascii="Calibri" w:hAnsi="Calibri"/>
          <w:b/>
          <w:color w:val="525866"/>
          <w:sz w:val="22"/>
        </w:rPr>
        <w:t>Disappointing AI Guidance (Sector Sentiment Negative, Limited Direct Read-Through):</w:t>
      </w:r>
      <w:r>
        <w:rPr>
          <w:rFonts w:ascii="Calibri" w:hAnsi="Calibri"/>
          <w:color w:val="525866"/>
          <w:sz w:val="22"/>
        </w:rPr>
        <w:t xml:space="preserve"> Broadcom’s Q2 FY2026 earnings showed AI chip revenue surging, but the company’s forward guidance on AI revenue projections fell short of elevated investor expectations, causing the stock to fall ~13% and dragging the semiconductor sector lower (SOXX fell ~11% on June 4–5). For SWKS specifically, the read-through is primarily a sector sentiment signal rather than a fundamental one — SWKS’s AI data center exposure (timing ICs, clock buffers, power delivery) is modest in absolute terms (~growing ~50% YoY but from a small base) and is not the primary driver of Q3 results.</w:t>
      </w:r>
    </w:p>
    <w:p>
      <w:pPr>
        <w:pStyle w:val="ListBullet"/>
        <w:ind w:left="360" w:hanging="360"/>
      </w:pPr>
      <w:r>
        <w:rPr>
          <w:rFonts w:ascii="Calibri" w:hAnsi="Calibri"/>
          <w:b/>
          <w:color w:val="525866"/>
          <w:sz w:val="22"/>
        </w:rPr>
        <w:t>Apple Partnership ($30B Custom Silicon Deal, July 2026):</w:t>
      </w:r>
      <w:r>
        <w:rPr>
          <w:rFonts w:ascii="Calibri" w:hAnsi="Calibri"/>
          <w:color w:val="525866"/>
          <w:sz w:val="22"/>
        </w:rPr>
        <w:t xml:space="preserve"> Broadcom’s stock rebounded in early July after Apple announced a multiyear $30 billion deal to develop custom silicon with Broadcom. This is a </w:t>
      </w:r>
      <w:r>
        <w:rPr>
          <w:rFonts w:ascii="Calibri" w:hAnsi="Calibri"/>
          <w:b/>
          <w:color w:val="525866"/>
          <w:sz w:val="22"/>
        </w:rPr>
        <w:t>neutral-to-slightly-negative read-through for SWKS</w:t>
      </w:r>
      <w:r>
        <w:rPr>
          <w:rFonts w:ascii="Calibri" w:hAnsi="Calibri"/>
          <w:color w:val="525866"/>
          <w:sz w:val="22"/>
        </w:rPr>
        <w:t xml:space="preserve"> — it confirms Apple’s continued investment in custom silicon (which SWKS management has acknowledged as a mix dynamic affecting blended content), but does not directly displace SWKS’s RF front-end content, which serves a different function than the custom silicon Broadcom supplies.</w:t>
      </w:r>
    </w:p>
    <w:p>
      <w:r>
        <w:rPr>
          <w:rFonts w:ascii="Calibri" w:hAnsi="Calibri"/>
          <w:b/>
          <w:color w:val="525866"/>
          <w:sz w:val="22"/>
        </w:rPr>
        <w:t>Note on Excluded Commentary:</w:t>
      </w:r>
      <w:r>
        <w:rPr>
          <w:rFonts w:ascii="Calibri" w:hAnsi="Calibri"/>
          <w:color w:val="525866"/>
          <w:sz w:val="22"/>
        </w:rPr>
        <w:t xml:space="preserve"> No qualifying peer commentary was found from Texas Instruments (TXN), Analog Devices (ADI), NXP Semiconductors (NXPI), or Microchip Technology (MCHP) that was contemporaneously relevant to SWKS’s June-ended quarter within the 60-day window. TI and ADI report after SWKS and have not yet provided current-quarter commentary. Cirrus Logic (CRUS) — another Apple-exposed analog semiconductor peer — had no qualifying earnings or investor day commentary in the window, though insider selling activity was noted (see Section 8).</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purchases or discretionary sales by SWKS insiders were identified in the SEC Form 4 filings reviewed for the period since the May 5, 2026 earnings call. The Form 4 search returned no qualifying P (purchase) or S (sale) transaction codes for SWKS in the relevant window. </w:t>
      </w:r>
      <w:r>
        <w:rPr>
          <w:rFonts w:ascii="Calibri" w:hAnsi="Calibri"/>
          <w:b/>
          <w:color w:val="525866"/>
          <w:sz w:val="22"/>
        </w:rPr>
        <w:t>The absence of insider buying is notable given the stock’s ~17% decline since earnings</w:t>
      </w:r>
      <w:r>
        <w:rPr>
          <w:rFonts w:ascii="Calibri" w:hAnsi="Calibri"/>
          <w:color w:val="525866"/>
          <w:sz w:val="22"/>
        </w:rPr>
        <w:t>, though it is not unusual for insiders to be in a quiet period ahead of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qualifying open-market SWKS insider transactions (Form 4 codes P/S) found in the May 5 – July 27, 2026 window. Insiders are likely in a pre-earnings quiet period.</w:t>
            </w:r>
          </w:p>
        </w:tc>
      </w:tr>
    </w:tbl>
    <w:p>
      <w:r>
        <w:rPr>
          <w:rFonts w:ascii="Calibri" w:hAnsi="Calibri"/>
          <w:b/>
          <w:color w:val="525866"/>
          <w:sz w:val="22"/>
        </w:rPr>
        <w:t>Peer Insider Context (for reference):</w:t>
      </w:r>
    </w:p>
    <w:p>
      <w:pPr>
        <w:pStyle w:val="ListBullet"/>
        <w:ind w:left="360" w:hanging="360"/>
      </w:pPr>
      <w:r>
        <w:rPr>
          <w:rFonts w:ascii="Calibri" w:hAnsi="Calibri"/>
          <w:b/>
          <w:color w:val="525866"/>
          <w:sz w:val="22"/>
        </w:rPr>
        <w:t>Cirrus Logic (CRUS) — July 20, 2026:</w:t>
      </w:r>
      <w:r>
        <w:rPr>
          <w:rFonts w:ascii="Calibri" w:hAnsi="Calibri"/>
          <w:color w:val="525866"/>
          <w:sz w:val="22"/>
        </w:rPr>
        <w:t xml:space="preserve"> Jeffrey W. Baumgartner (EVP, R&amp;D) sold $161,572 (7% of holdings) under a pre-planned 10b5-1 program. Routine planned sale; not a discretionary signal.</w:t>
      </w:r>
    </w:p>
    <w:p>
      <w:pPr>
        <w:pStyle w:val="ListBullet"/>
        <w:ind w:left="360" w:hanging="360"/>
      </w:pPr>
      <w:r>
        <w:rPr>
          <w:rFonts w:ascii="Calibri" w:hAnsi="Calibri"/>
          <w:b/>
          <w:color w:val="525866"/>
          <w:sz w:val="22"/>
        </w:rPr>
        <w:t>Qualcomm (QCOM) — July 14, 2026:</w:t>
      </w:r>
      <w:r>
        <w:rPr>
          <w:rFonts w:ascii="Calibri" w:hAnsi="Calibri"/>
          <w:color w:val="525866"/>
          <w:sz w:val="22"/>
        </w:rPr>
        <w:t xml:space="preserve"> CFO/COO Akash Palkhiwala sold $445,670 (10% of holdings) under a 10b5-1 plan established December 8, 2025. Routine planned sale; not a discretionary signal.</w:t>
      </w:r>
    </w:p>
    <w:p>
      <w:pPr>
        <w:pStyle w:val="ListBullet"/>
        <w:ind w:left="360" w:hanging="360"/>
      </w:pPr>
      <w:r>
        <w:rPr>
          <w:rFonts w:ascii="Calibri" w:hAnsi="Calibri"/>
          <w:b/>
          <w:color w:val="525866"/>
          <w:sz w:val="22"/>
        </w:rPr>
        <w:t>Broadcom (AVGO) — July 8–10, 2026:</w:t>
      </w:r>
      <w:r>
        <w:rPr>
          <w:rFonts w:ascii="Calibri" w:hAnsi="Calibri"/>
          <w:color w:val="525866"/>
          <w:sz w:val="22"/>
        </w:rPr>
        <w:t xml:space="preserve"> Chief Legal Officer Mark Brazeal sold ~$10M in shares (11% of holdings) in two discretionary transactions, coinciding with the stock’s rebound following the Apple $30B custom silicon deal announcement. Discretionary sale; no direct read-through to SWKS.</w:t>
      </w:r>
    </w:p>
    <w:p>
      <w:r>
        <w:rPr>
          <w:rFonts w:ascii="Calibri" w:hAnsi="Calibri"/>
          <w:color w:val="525866"/>
          <w:sz w:val="22"/>
        </w:rPr>
        <w:t>Source: SEC Form 4 filings database; SEC EDGAR search for SWKS (CIK 4127) Form 4 filings, May 5 – July 27, 2026. The Form 4 search returned filings related to the Qorvo merger S-4 registration statement and historical RSU grants, but no open-market purchase (code P) or sale (code S) transactions by SWKS named executive officers or directors in the window.</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