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0" w:name="syk-2026-q2-earnings-preview"/>
    <w:p>
      <w:pPr>
        <w:pStyle w:val="Heading1"/>
      </w:pPr>
      <w:r>
        <w:t xml:space="preserve">SYK 2026 Q2 Earnings Preview</w:t>
      </w:r>
    </w:p>
    <w:p>
      <w:pPr>
        <w:pStyle w:val="FirstParagraph"/>
      </w:pPr>
      <w:r>
        <w:rPr>
          <w:b/>
          <w:bCs/>
        </w:rPr>
        <w:t xml:space="preserve">Report date:</w:t>
      </w:r>
      <w:r>
        <w:t xml:space="preserve"> </w:t>
      </w:r>
      <w:r>
        <w:t xml:space="preserve">July 30, 2026, after the close</w:t>
      </w:r>
      <w:r>
        <w:br/>
      </w:r>
      <w:r>
        <w:rPr>
          <w:b/>
          <w:bCs/>
        </w:rPr>
        <w:t xml:space="preserve">Conference call:</w:t>
      </w:r>
      <w:r>
        <w:t xml:space="preserve"> </w:t>
      </w:r>
      <w:r>
        <w:t xml:space="preserve">4:30 p.m. ET</w:t>
      </w:r>
      <w:r>
        <w:br/>
      </w:r>
      <w:r>
        <w:rPr>
          <w:b/>
          <w:bCs/>
        </w:rPr>
        <w:t xml:space="preserve">Central question:</w:t>
      </w:r>
      <w:r>
        <w:t xml:space="preserve"> </w:t>
      </w:r>
      <w:r>
        <w:t xml:space="preserve">Did Stryker recover enough of the first-quarter cyber disruption to preserve its full-year growth and margin plan?</w:t>
      </w:r>
    </w:p>
    <w:bookmarkStart w:id="10" w:name="the-setup"/>
    <w:p>
      <w:pPr>
        <w:pStyle w:val="Heading2"/>
      </w:pPr>
      <w:r>
        <w:t xml:space="preserve">The setup</w:t>
      </w:r>
    </w:p>
    <w:p>
      <w:pPr>
        <w:pStyle w:val="FirstParagraph"/>
      </w:pPr>
      <w:r>
        <w:t xml:space="preserve">Stryker enters Q2 with an unusually wide gap between its underlying business momentum and its reported year-to-date results.</w:t>
      </w:r>
    </w:p>
    <w:p>
      <w:pPr>
        <w:pStyle w:val="BodyText"/>
      </w:pPr>
      <w:r>
        <w:t xml:space="preserve">The March cyberattack disrupted manufacturing, shipping and revenue recognition late in Q1. Consequently, first-quarter organic sales grew only</w:t>
      </w:r>
      <w:r>
        <w:t xml:space="preserve"> </w:t>
      </w:r>
      <w:r>
        <w:rPr>
          <w:b/>
          <w:bCs/>
        </w:rPr>
        <w:t xml:space="preserve">2.4%</w:t>
      </w:r>
      <w:r>
        <w:t xml:space="preserve">, adjusted operating margin contracted</w:t>
      </w:r>
      <w:r>
        <w:t xml:space="preserve"> </w:t>
      </w:r>
      <w:r>
        <w:rPr>
          <w:b/>
          <w:bCs/>
        </w:rPr>
        <w:t xml:space="preserve">180 basis points to 21.1%</w:t>
      </w:r>
      <w:r>
        <w:t xml:space="preserve">, and adjusted EPS declined</w:t>
      </w:r>
      <w:r>
        <w:t xml:space="preserve"> </w:t>
      </w:r>
      <w:r>
        <w:rPr>
          <w:b/>
          <w:bCs/>
        </w:rPr>
        <w:t xml:space="preserve">8.5% to</w:t>
      </w:r>
      <w:r>
        <w:rPr>
          <w:b/>
          <w:bCs/>
        </w:rPr>
        <w:t xml:space="preserve"> </w:t>
      </w:r>
      <m:oMath>
        <m:r>
          <m:t>2.60</m:t>
        </m:r>
        <m:r>
          <m:rPr>
            <m:sty m:val="p"/>
          </m:rPr>
          <m:t>*</m:t>
        </m:r>
        <m:r>
          <m:rPr>
            <m:sty m:val="p"/>
          </m:rPr>
          <m:t>*</m:t>
        </m:r>
        <m:r>
          <m:rPr>
            <m:sty m:val="p"/>
          </m:rPr>
          <m:t>.</m:t>
        </m:r>
        <m:r>
          <m:t>N</m:t>
        </m:r>
        <m:r>
          <m:t>e</m:t>
        </m:r>
        <m:r>
          <m:t>v</m:t>
        </m:r>
        <m:r>
          <m:t>e</m:t>
        </m:r>
        <m:r>
          <m:t>r</m:t>
        </m:r>
        <m:r>
          <m:t>t</m:t>
        </m:r>
        <m:r>
          <m:t>h</m:t>
        </m:r>
        <m:r>
          <m:t>e</m:t>
        </m:r>
        <m:r>
          <m:t>l</m:t>
        </m:r>
        <m:r>
          <m:t>e</m:t>
        </m:r>
        <m:r>
          <m:t>s</m:t>
        </m:r>
        <m:r>
          <m:t>s</m:t>
        </m:r>
        <m:r>
          <m:rPr>
            <m:sty m:val="p"/>
          </m:rPr>
          <m:t>,</m:t>
        </m:r>
        <m:r>
          <m:t>m</m:t>
        </m:r>
        <m:r>
          <m:t>a</m:t>
        </m:r>
        <m:r>
          <m:t>n</m:t>
        </m:r>
        <m:r>
          <m:t>a</m:t>
        </m:r>
        <m:r>
          <m:t>g</m:t>
        </m:r>
        <m:r>
          <m:t>e</m:t>
        </m:r>
        <m:r>
          <m:t>m</m:t>
        </m:r>
        <m:r>
          <m:t>e</m:t>
        </m:r>
        <m:r>
          <m:t>n</m:t>
        </m:r>
        <m:r>
          <m:t>t</m:t>
        </m:r>
        <m:r>
          <m:t>m</m:t>
        </m:r>
        <m:r>
          <m:t>a</m:t>
        </m:r>
        <m:r>
          <m:t>i</m:t>
        </m:r>
        <m:r>
          <m:t>n</m:t>
        </m:r>
        <m:r>
          <m:t>t</m:t>
        </m:r>
        <m:r>
          <m:t>a</m:t>
        </m:r>
        <m:r>
          <m:t>i</m:t>
        </m:r>
        <m:r>
          <m:t>n</m:t>
        </m:r>
        <m:r>
          <m:t>e</m:t>
        </m:r>
        <m:r>
          <m:t>d</m:t>
        </m:r>
        <m:r>
          <m:t>i</m:t>
        </m:r>
        <m:r>
          <m:t>t</m:t>
        </m:r>
        <m:r>
          <m:t>s</m:t>
        </m:r>
        <m:r>
          <m:t>2026</m:t>
        </m:r>
        <m:r>
          <m:t>o</m:t>
        </m:r>
        <m:r>
          <m:t>u</m:t>
        </m:r>
        <m:r>
          <m:t>t</m:t>
        </m:r>
        <m:r>
          <m:t>l</m:t>
        </m:r>
        <m:r>
          <m:t>o</m:t>
        </m:r>
        <m:r>
          <m:t>o</m:t>
        </m:r>
        <m:r>
          <m:t>k</m:t>
        </m:r>
        <m:r>
          <m:t>f</m:t>
        </m:r>
        <m:r>
          <m:t>o</m:t>
        </m:r>
        <m:r>
          <m:t>r</m:t>
        </m:r>
        <m:r>
          <m:rPr>
            <m:sty m:val="p"/>
          </m:rPr>
          <m:t>*</m:t>
        </m:r>
        <m:r>
          <m:rPr>
            <m:sty m:val="p"/>
          </m:rPr>
          <m:t>*</m:t>
        </m:r>
        <m:r>
          <m:t>8.0</m:t>
        </m:r>
      </m:oMath>
      <w:r>
        <w:rPr>
          <w:b/>
          <w:bCs/>
        </w:rPr>
        <w:t xml:space="preserve">14.90-$15.10 of adjusted EPS</w:t>
      </w:r>
      <w:r>
        <w:t xml:space="preserve">, arguing that most of the affected revenue should be recovered during the remainder of the year. (</w:t>
      </w:r>
      <w:hyperlink r:id="rId9">
        <w:r>
          <w:rPr>
            <w:rStyle w:val="Hyperlink"/>
          </w:rPr>
          <w:t xml:space="preserve">sec.gov</w:t>
        </w:r>
      </w:hyperlink>
      <w:r>
        <w:t xml:space="preserve">)</w:t>
      </w:r>
    </w:p>
    <w:p>
      <w:pPr>
        <w:pStyle w:val="BodyText"/>
      </w:pPr>
      <w:r>
        <w:t xml:space="preserve">Q2 is therefore less about a conventional quarterly beat and more about validating that recovery thesis. The best result would combine:</w:t>
      </w:r>
    </w:p>
    <w:p>
      <w:pPr>
        <w:pStyle w:val="Compact"/>
        <w:numPr>
          <w:ilvl w:val="0"/>
          <w:numId w:val="1001"/>
        </w:numPr>
      </w:pPr>
      <w:r>
        <w:t xml:space="preserve">Visible recapture of deferred Q1 sales;</w:t>
      </w:r>
    </w:p>
    <w:p>
      <w:pPr>
        <w:pStyle w:val="Compact"/>
        <w:numPr>
          <w:ilvl w:val="0"/>
          <w:numId w:val="1001"/>
        </w:numPr>
      </w:pPr>
      <w:r>
        <w:t xml:space="preserve">Evidence that underlying procedural and capital demand remains healthy;</w:t>
      </w:r>
    </w:p>
    <w:p>
      <w:pPr>
        <w:pStyle w:val="Compact"/>
        <w:numPr>
          <w:ilvl w:val="0"/>
          <w:numId w:val="1001"/>
        </w:numPr>
      </w:pPr>
      <w:r>
        <w:t xml:space="preserve">Meaningful margin normalization; and</w:t>
      </w:r>
    </w:p>
    <w:p>
      <w:pPr>
        <w:pStyle w:val="Compact"/>
        <w:numPr>
          <w:ilvl w:val="0"/>
          <w:numId w:val="1001"/>
        </w:numPr>
      </w:pPr>
      <w:r>
        <w:t xml:space="preserve">Reaffirmed—or preferably improved—full-year guidance without pushing too much recovery into Q4.</w:t>
      </w:r>
    </w:p>
    <w:bookmarkEnd w:id="10"/>
    <w:bookmarkStart w:id="12" w:name="consensus-expectations"/>
    <w:p>
      <w:pPr>
        <w:pStyle w:val="Heading2"/>
      </w:pPr>
      <w:r>
        <w:t xml:space="preserve">Consensus expectations</w:t>
      </w:r>
    </w:p>
    <w:p>
      <w:pPr>
        <w:pStyle w:val="FirstParagraph"/>
      </w:pPr>
      <w:r>
        <w:t xml:space="preserve">Published estimates vary slightly by provider:</w:t>
      </w:r>
    </w:p>
    <w:tbl>
      <w:tblPr>
        <w:tblStyle w:val="Table"/>
        <w:tblW w:type="auto" w:w="0"/>
        <w:tblLook w:firstRow="1" w:lastRow="0" w:firstColumn="0" w:lastColumn="0" w:noHBand="0" w:noVBand="0" w:val="0020"/>
      </w:tblPr>
      <w:tblGrid>
        <w:gridCol w:w="1980"/>
        <w:gridCol w:w="1980"/>
        <w:gridCol w:w="1980"/>
        <w:gridCol w:w="1980"/>
      </w:tblGrid>
      <w:tr>
        <w:trPr>
          <w:tblHeader w:val="on"/>
        </w:trPr>
        <w:tc>
          <w:tcPr/>
          <w:p>
            <w:pPr>
              <w:pStyle w:val="Compact"/>
            </w:pPr>
            <w:r>
              <w:t xml:space="preserve">Metric</w:t>
            </w:r>
          </w:p>
        </w:tc>
        <w:tc>
          <w:tcPr/>
          <w:p>
            <w:pPr>
              <w:pStyle w:val="Compact"/>
              <w:jc w:val="right"/>
            </w:pPr>
            <w:r>
              <w:t xml:space="preserve">Q2 consensus</w:t>
            </w:r>
          </w:p>
        </w:tc>
        <w:tc>
          <w:tcPr/>
          <w:p>
            <w:pPr>
              <w:pStyle w:val="Compact"/>
              <w:jc w:val="right"/>
            </w:pPr>
            <w:r>
              <w:t xml:space="preserve">Q2 2025</w:t>
            </w:r>
          </w:p>
        </w:tc>
        <w:tc>
          <w:tcPr/>
          <w:p>
            <w:pPr>
              <w:pStyle w:val="Compact"/>
              <w:jc w:val="right"/>
            </w:pPr>
            <w:r>
              <w:t xml:space="preserve">Implied growth</w:t>
            </w:r>
          </w:p>
        </w:tc>
      </w:tr>
      <w:tr>
        <w:tc>
          <w:tcPr/>
          <w:p>
            <w:pPr>
              <w:pStyle w:val="Compact"/>
            </w:pPr>
            <w:r>
              <w:t xml:space="preserve">Revenue</w:t>
            </w:r>
          </w:p>
        </w:tc>
        <w:tc>
          <w:tcPr/>
          <w:p>
            <w:pPr>
              <w:pStyle w:val="Compact"/>
              <w:jc w:val="right"/>
            </w:pPr>
            <m:oMath>
              <m:r>
                <m:t>6.56</m:t>
              </m:r>
              <m:r>
                <m:rPr>
                  <m:sty m:val="p"/>
                </m:rPr>
                <m:t>−</m:t>
              </m:r>
            </m:oMath>
            <w:r>
              <w:rPr>
                <w:b/>
                <w:bCs/>
              </w:rPr>
              <w:t xml:space="preserve">6.58B</w:t>
            </w:r>
          </w:p>
        </w:tc>
        <w:tc>
          <w:tcPr/>
          <w:p>
            <w:pPr>
              <w:pStyle w:val="Compact"/>
              <w:jc w:val="right"/>
            </w:pPr>
            <w:r>
              <w:t xml:space="preserve">$6.02B</w:t>
            </w:r>
          </w:p>
        </w:tc>
        <w:tc>
          <w:tcPr/>
          <w:p>
            <w:pPr>
              <w:pStyle w:val="Compact"/>
              <w:jc w:val="right"/>
            </w:pPr>
            <w:r>
              <w:t xml:space="preserve">Approximately 9%</w:t>
            </w:r>
          </w:p>
        </w:tc>
      </w:tr>
      <w:tr>
        <w:tc>
          <w:tcPr/>
          <w:p>
            <w:pPr>
              <w:pStyle w:val="Compact"/>
            </w:pPr>
            <w:r>
              <w:t xml:space="preserve">Adjusted EPS</w:t>
            </w:r>
          </w:p>
        </w:tc>
        <w:tc>
          <w:tcPr/>
          <w:p>
            <w:pPr>
              <w:pStyle w:val="Compact"/>
              <w:jc w:val="right"/>
            </w:pPr>
            <m:oMath>
              <m:r>
                <m:t>3.46</m:t>
              </m:r>
              <m:r>
                <m:rPr>
                  <m:sty m:val="p"/>
                </m:rPr>
                <m:t>−</m:t>
              </m:r>
            </m:oMath>
            <w:r>
              <w:rPr>
                <w:b/>
                <w:bCs/>
              </w:rPr>
              <w:t xml:space="preserve">3.49</w:t>
            </w:r>
          </w:p>
        </w:tc>
        <w:tc>
          <w:tcPr/>
          <w:p>
            <w:pPr>
              <w:pStyle w:val="Compact"/>
              <w:jc w:val="right"/>
            </w:pPr>
            <w:r>
              <w:t xml:space="preserve">$3.13</w:t>
            </w:r>
          </w:p>
        </w:tc>
        <w:tc>
          <w:tcPr/>
          <w:p>
            <w:pPr>
              <w:pStyle w:val="Compact"/>
              <w:jc w:val="right"/>
            </w:pPr>
            <w:r>
              <w:t xml:space="preserve">Approximately 11%</w:t>
            </w:r>
          </w:p>
        </w:tc>
      </w:tr>
      <w:tr>
        <w:tc>
          <w:tcPr/>
          <w:p>
            <w:pPr>
              <w:pStyle w:val="Compact"/>
            </w:pPr>
            <w:r>
              <w:t xml:space="preserve">FY2026 revenue</w:t>
            </w:r>
          </w:p>
        </w:tc>
        <w:tc>
          <w:tcPr/>
          <w:p>
            <w:pPr>
              <w:pStyle w:val="Compact"/>
              <w:jc w:val="right"/>
            </w:pPr>
            <w:r>
              <w:rPr>
                <w:b/>
                <w:bCs/>
              </w:rPr>
              <w:t xml:space="preserve">$27.22B</w:t>
            </w:r>
          </w:p>
        </w:tc>
        <w:tc>
          <w:tcPr/>
          <w:p>
            <w:pPr>
              <w:pStyle w:val="Compact"/>
              <w:jc w:val="right"/>
            </w:pPr>
            <w:r>
              <w:t xml:space="preserve">$25.12B</w:t>
            </w:r>
          </w:p>
        </w:tc>
        <w:tc>
          <w:tcPr/>
          <w:p>
            <w:pPr>
              <w:pStyle w:val="Compact"/>
              <w:jc w:val="right"/>
            </w:pPr>
            <w:r>
              <w:t xml:space="preserve">8.4%</w:t>
            </w:r>
          </w:p>
        </w:tc>
      </w:tr>
      <w:tr>
        <w:tc>
          <w:tcPr/>
          <w:p>
            <w:pPr>
              <w:pStyle w:val="Compact"/>
            </w:pPr>
            <w:r>
              <w:t xml:space="preserve">FY2026 adjusted EPS</w:t>
            </w:r>
          </w:p>
        </w:tc>
        <w:tc>
          <w:tcPr/>
          <w:p>
            <w:pPr>
              <w:pStyle w:val="Compact"/>
              <w:jc w:val="right"/>
            </w:pPr>
            <w:r>
              <w:rPr>
                <w:b/>
                <w:bCs/>
              </w:rPr>
              <w:t xml:space="preserve">$14.98</w:t>
            </w:r>
          </w:p>
        </w:tc>
        <w:tc>
          <w:tcPr/>
          <w:p>
            <w:pPr>
              <w:pStyle w:val="Compact"/>
              <w:jc w:val="right"/>
            </w:pPr>
            <w:r>
              <w:t xml:space="preserve">$13.63</w:t>
            </w:r>
          </w:p>
        </w:tc>
        <w:tc>
          <w:tcPr/>
          <w:p>
            <w:pPr>
              <w:pStyle w:val="Compact"/>
              <w:jc w:val="right"/>
            </w:pPr>
            <w:r>
              <w:t xml:space="preserve">9.9%</w:t>
            </w:r>
          </w:p>
        </w:tc>
      </w:tr>
    </w:tbl>
    <w:p>
      <w:pPr>
        <w:pStyle w:val="BodyText"/>
      </w:pPr>
      <w:r>
        <w:t xml:space="preserve">Zacks' current estimates are $6.56 billion of revenue and $3.46 of adjusted EPS, while MarketBeat shows $6.58 billion and $3.49. The full-year EPS consensus is essentially at the midpoint of Stryker's</w:t>
      </w:r>
      <w:r>
        <w:t xml:space="preserve"> </w:t>
      </w:r>
      <m:oMath>
        <m:r>
          <m:t>14.90</m:t>
        </m:r>
        <m:r>
          <m:rPr>
            <m:sty m:val="p"/>
          </m:rPr>
          <m:t>−</m:t>
        </m:r>
      </m:oMath>
      <w:r>
        <w:t xml:space="preserve">15.10 guidance range. (</w:t>
      </w:r>
      <w:hyperlink r:id="rId11">
        <w:r>
          <w:rPr>
            <w:rStyle w:val="Hyperlink"/>
          </w:rPr>
          <w:t xml:space="preserve">stage.zacks.com</w:t>
        </w:r>
      </w:hyperlink>
      <w:r>
        <w:t xml:space="preserve">)</w:t>
      </w:r>
    </w:p>
    <w:p>
      <w:pPr>
        <w:pStyle w:val="BodyText"/>
      </w:pPr>
      <w:r>
        <w:t xml:space="preserve">That creates an important asymmetry:</w:t>
      </w:r>
      <w:r>
        <w:t xml:space="preserve"> </w:t>
      </w:r>
      <w:r>
        <w:rPr>
          <w:b/>
          <w:bCs/>
        </w:rPr>
        <w:t xml:space="preserve">simply reaffirming guidance may be sufficient operationally, but it may not constitute a positive earnings catalyst unless the quarterly recovery is convincing.</w:t>
      </w:r>
    </w:p>
    <w:bookmarkEnd w:id="12"/>
    <w:bookmarkStart w:id="17" w:name="what-matters-most"/>
    <w:p>
      <w:pPr>
        <w:pStyle w:val="Heading2"/>
      </w:pPr>
      <w:r>
        <w:t xml:space="preserve">What matters most</w:t>
      </w:r>
    </w:p>
    <w:bookmarkStart w:id="13" w:name="Xbdf53536a74c46b27c434dfdeacbab95834f9d8"/>
    <w:p>
      <w:pPr>
        <w:pStyle w:val="Heading3"/>
      </w:pPr>
      <w:r>
        <w:t xml:space="preserve">1. How much of the cyber-related revenue returned in Q2?</w:t>
      </w:r>
    </w:p>
    <w:p>
      <w:pPr>
        <w:pStyle w:val="FirstParagraph"/>
      </w:pPr>
      <w:r>
        <w:t xml:space="preserve">Management previously divided the disruption into three broad categories:</w:t>
      </w:r>
    </w:p>
    <w:p>
      <w:pPr>
        <w:pStyle w:val="Compact"/>
        <w:numPr>
          <w:ilvl w:val="0"/>
          <w:numId w:val="1002"/>
        </w:numPr>
      </w:pPr>
      <w:r>
        <w:rPr>
          <w:b/>
          <w:bCs/>
        </w:rPr>
        <w:t xml:space="preserve">Revenue-recognition delays:</w:t>
      </w:r>
      <w:r>
        <w:t xml:space="preserve"> </w:t>
      </w:r>
      <w:r>
        <w:t xml:space="preserve">Expected to be recovered mainly in Q2;</w:t>
      </w:r>
    </w:p>
    <w:p>
      <w:pPr>
        <w:pStyle w:val="Compact"/>
        <w:numPr>
          <w:ilvl w:val="0"/>
          <w:numId w:val="1002"/>
        </w:numPr>
      </w:pPr>
      <w:r>
        <w:rPr>
          <w:b/>
          <w:bCs/>
        </w:rPr>
        <w:t xml:space="preserve">Rescheduled procedures:</w:t>
      </w:r>
      <w:r>
        <w:t xml:space="preserve"> </w:t>
      </w:r>
      <w:r>
        <w:t xml:space="preserve">Expected to return across Q2 through Q4;</w:t>
      </w:r>
    </w:p>
    <w:p>
      <w:pPr>
        <w:pStyle w:val="Compact"/>
        <w:numPr>
          <w:ilvl w:val="0"/>
          <w:numId w:val="1002"/>
        </w:numPr>
      </w:pPr>
      <w:r>
        <w:rPr>
          <w:b/>
          <w:bCs/>
        </w:rPr>
        <w:t xml:space="preserve">Delayed capital production and shipments:</w:t>
      </w:r>
      <w:r>
        <w:t xml:space="preserve"> </w:t>
      </w:r>
      <w:r>
        <w:t xml:space="preserve">More heavily weighted toward the second half.</w:t>
      </w:r>
    </w:p>
    <w:p>
      <w:pPr>
        <w:pStyle w:val="FirstParagraph"/>
      </w:pPr>
      <w:r>
        <w:t xml:space="preserve">This distinction matters. A strong Q2 driven primarily by accounting catch-up is less valuable than one that also demonstrates normal underlying demand. Investors should look for management to quantify, or at least characterize:</w:t>
      </w:r>
    </w:p>
    <w:p>
      <w:pPr>
        <w:pStyle w:val="Compact"/>
        <w:numPr>
          <w:ilvl w:val="0"/>
          <w:numId w:val="1003"/>
        </w:numPr>
      </w:pPr>
      <w:r>
        <w:t xml:space="preserve">Q2 growth excluding cyber-related recapture;</w:t>
      </w:r>
    </w:p>
    <w:p>
      <w:pPr>
        <w:pStyle w:val="Compact"/>
        <w:numPr>
          <w:ilvl w:val="0"/>
          <w:numId w:val="1003"/>
        </w:numPr>
      </w:pPr>
      <w:r>
        <w:t xml:space="preserve">The amount of delayed revenue still expected in the second half;</w:t>
      </w:r>
    </w:p>
    <w:p>
      <w:pPr>
        <w:pStyle w:val="Compact"/>
        <w:numPr>
          <w:ilvl w:val="0"/>
          <w:numId w:val="1003"/>
        </w:numPr>
      </w:pPr>
      <w:r>
        <w:t xml:space="preserve">Whether any procedures or orders were permanently lost;</w:t>
      </w:r>
    </w:p>
    <w:p>
      <w:pPr>
        <w:pStyle w:val="Compact"/>
        <w:numPr>
          <w:ilvl w:val="0"/>
          <w:numId w:val="1003"/>
        </w:numPr>
      </w:pPr>
      <w:r>
        <w:t xml:space="preserve">Whether manufacturing and logistics are fully normalized; and</w:t>
      </w:r>
    </w:p>
    <w:p>
      <w:pPr>
        <w:pStyle w:val="Compact"/>
        <w:numPr>
          <w:ilvl w:val="0"/>
          <w:numId w:val="1003"/>
        </w:numPr>
      </w:pPr>
      <w:r>
        <w:t xml:space="preserve">Whether customer relationships or market share were affected.</w:t>
      </w:r>
    </w:p>
    <w:p>
      <w:pPr>
        <w:pStyle w:val="FirstParagraph"/>
      </w:pPr>
      <w:r>
        <w:t xml:space="preserve">At a May investor conference, management said it was on track with its Q2 plan and comfortable with then-current consensus. It also said orders continued to outpace shipments and that the capital backlog was still building. That raises the bar against a merely acceptable quarter.</w:t>
      </w:r>
    </w:p>
    <w:bookmarkEnd w:id="13"/>
    <w:bookmarkStart w:id="14" w:name="X645e334a632db2802aad6187e855cdc7fb7a53b"/>
    <w:p>
      <w:pPr>
        <w:pStyle w:val="Heading3"/>
      </w:pPr>
      <w:r>
        <w:t xml:space="preserve">2. The quality of organic growth</w:t>
      </w:r>
    </w:p>
    <w:p>
      <w:pPr>
        <w:pStyle w:val="FirstParagraph"/>
      </w:pPr>
      <w:r>
        <w:t xml:space="preserve">Reported revenue near consensus would represent approximately 9% growth, but the organic figure and its composition will be more informative.</w:t>
      </w:r>
    </w:p>
    <w:p>
      <w:pPr>
        <w:pStyle w:val="BodyText"/>
      </w:pPr>
      <w:r>
        <w:t xml:space="preserve">A high-quality result would show:</w:t>
      </w:r>
    </w:p>
    <w:p>
      <w:pPr>
        <w:pStyle w:val="Compact"/>
        <w:numPr>
          <w:ilvl w:val="0"/>
          <w:numId w:val="1004"/>
        </w:numPr>
      </w:pPr>
      <w:r>
        <w:t xml:space="preserve">Broad-based growth beyond delayed Q1 revenue;</w:t>
      </w:r>
    </w:p>
    <w:p>
      <w:pPr>
        <w:pStyle w:val="Compact"/>
        <w:numPr>
          <w:ilvl w:val="0"/>
          <w:numId w:val="1004"/>
        </w:numPr>
      </w:pPr>
      <w:r>
        <w:t xml:space="preserve">Continued strength in Trauma and Extremities, Instruments and Vascular;</w:t>
      </w:r>
    </w:p>
    <w:p>
      <w:pPr>
        <w:pStyle w:val="Compact"/>
        <w:numPr>
          <w:ilvl w:val="0"/>
          <w:numId w:val="1004"/>
        </w:numPr>
      </w:pPr>
      <w:r>
        <w:t xml:space="preserve">Improving Medical and Endoscopy trends;</w:t>
      </w:r>
    </w:p>
    <w:p>
      <w:pPr>
        <w:pStyle w:val="Compact"/>
        <w:numPr>
          <w:ilvl w:val="0"/>
          <w:numId w:val="1004"/>
        </w:numPr>
      </w:pPr>
      <w:r>
        <w:t xml:space="preserve">Healthy U.S. procedural volumes;</w:t>
      </w:r>
    </w:p>
    <w:p>
      <w:pPr>
        <w:pStyle w:val="Compact"/>
        <w:numPr>
          <w:ilvl w:val="0"/>
          <w:numId w:val="1004"/>
        </w:numPr>
      </w:pPr>
      <w:r>
        <w:t xml:space="preserve">Solid international growth; and</w:t>
      </w:r>
    </w:p>
    <w:p>
      <w:pPr>
        <w:pStyle w:val="Compact"/>
        <w:numPr>
          <w:ilvl w:val="0"/>
          <w:numId w:val="1004"/>
        </w:numPr>
      </w:pPr>
      <w:r>
        <w:t xml:space="preserve">Modestly positive pricing without deterioration in volume.</w:t>
      </w:r>
    </w:p>
    <w:p>
      <w:pPr>
        <w:pStyle w:val="FirstParagraph"/>
      </w:pPr>
      <w:r>
        <w:t xml:space="preserve">The first-quarter comparison was heavily distorted: organic growth was only 0.9% in MedSurg and Neurotechnology and 4.1% in Orthopaedics. Q2 should look much closer to Stryker's normal high-single- to low-double-digit profile. If consolidated organic growth remains materially below the full-year range, the burden placed on Q3 and Q4 would become uncomfortable.</w:t>
      </w:r>
    </w:p>
    <w:bookmarkEnd w:id="14"/>
    <w:bookmarkStart w:id="15" w:name="X514ab7287950a3fac171343503f32d3cea891ae"/>
    <w:p>
      <w:pPr>
        <w:pStyle w:val="Heading3"/>
      </w:pPr>
      <w:r>
        <w:t xml:space="preserve">3. Margin recovery</w:t>
      </w:r>
    </w:p>
    <w:p>
      <w:pPr>
        <w:pStyle w:val="FirstParagraph"/>
      </w:pPr>
      <w:r>
        <w:t xml:space="preserve">Q1 adjusted gross margin fell 190 basis points to 63.6%, reflecting lost manufacturing absorption and tariffs. Adjusted operating margin declined to 21.1% from 22.9%.</w:t>
      </w:r>
    </w:p>
    <w:p>
      <w:pPr>
        <w:pStyle w:val="BodyText"/>
      </w:pPr>
      <w:r>
        <w:t xml:space="preserve">Q2 faces a demanding comparison: adjusted operating margin was</w:t>
      </w:r>
      <w:r>
        <w:t xml:space="preserve"> </w:t>
      </w:r>
      <w:r>
        <w:rPr>
          <w:b/>
          <w:bCs/>
        </w:rPr>
        <w:t xml:space="preserve">25.7% in Q2 2025</w:t>
      </w:r>
      <w:r>
        <w:t xml:space="preserve">. Investors should not necessarily require full year-over-year expansion, given lingering absorption costs and tariffs, but the margin should recover sharply from Q1.</w:t>
      </w:r>
    </w:p>
    <w:p>
      <w:pPr>
        <w:pStyle w:val="BodyText"/>
      </w:pPr>
      <w:r>
        <w:t xml:space="preserve">Key questions include:</w:t>
      </w:r>
    </w:p>
    <w:p>
      <w:pPr>
        <w:pStyle w:val="Compact"/>
        <w:numPr>
          <w:ilvl w:val="0"/>
          <w:numId w:val="1005"/>
        </w:numPr>
      </w:pPr>
      <w:r>
        <w:t xml:space="preserve">How much idle-capacity expense remained in Q2?</w:t>
      </w:r>
    </w:p>
    <w:p>
      <w:pPr>
        <w:pStyle w:val="Compact"/>
        <w:numPr>
          <w:ilvl w:val="0"/>
          <w:numId w:val="1005"/>
        </w:numPr>
      </w:pPr>
      <w:r>
        <w:t xml:space="preserve">Are additional shifts and expedited production creating temporary costs?</w:t>
      </w:r>
    </w:p>
    <w:p>
      <w:pPr>
        <w:pStyle w:val="Compact"/>
        <w:numPr>
          <w:ilvl w:val="0"/>
          <w:numId w:val="1005"/>
        </w:numPr>
      </w:pPr>
      <w:r>
        <w:t xml:space="preserve">How much tariff expense is embedded in the quarter and full-year plan?</w:t>
      </w:r>
    </w:p>
    <w:p>
      <w:pPr>
        <w:pStyle w:val="Compact"/>
        <w:numPr>
          <w:ilvl w:val="0"/>
          <w:numId w:val="1005"/>
        </w:numPr>
      </w:pPr>
      <w:r>
        <w:t xml:space="preserve">Will Stryker receive tariff refunds, and are any assumed in guidance?</w:t>
      </w:r>
    </w:p>
    <w:p>
      <w:pPr>
        <w:pStyle w:val="Compact"/>
        <w:numPr>
          <w:ilvl w:val="0"/>
          <w:numId w:val="1005"/>
        </w:numPr>
      </w:pPr>
      <w:r>
        <w:t xml:space="preserve">Can pricing, procurement and operating discipline offset inflation?</w:t>
      </w:r>
    </w:p>
    <w:p>
      <w:pPr>
        <w:pStyle w:val="Compact"/>
        <w:numPr>
          <w:ilvl w:val="0"/>
          <w:numId w:val="1005"/>
        </w:numPr>
      </w:pPr>
      <w:r>
        <w:t xml:space="preserve">Does management still expect full-year margin expansion?</w:t>
      </w:r>
    </w:p>
    <w:p>
      <w:pPr>
        <w:pStyle w:val="FirstParagraph"/>
      </w:pPr>
      <w:r>
        <w:t xml:space="preserve">A revenue beat accompanied by weak incremental margins would be lower quality because it could indicate that the recovery is proving more expensive than anticipated.</w:t>
      </w:r>
    </w:p>
    <w:bookmarkEnd w:id="15"/>
    <w:bookmarkStart w:id="16" w:name="X315a982de08c69ec468dab5360f182421b423ae"/>
    <w:p>
      <w:pPr>
        <w:pStyle w:val="Heading3"/>
      </w:pPr>
      <w:r>
        <w:t xml:space="preserve">4. Can management maintain the full-year outlook credibly?</w:t>
      </w:r>
    </w:p>
    <w:p>
      <w:pPr>
        <w:pStyle w:val="FirstParagraph"/>
      </w:pPr>
      <w:r>
        <w:t xml:space="preserve">The current guide calls for:</w:t>
      </w:r>
    </w:p>
    <w:p>
      <w:pPr>
        <w:pStyle w:val="Compact"/>
        <w:numPr>
          <w:ilvl w:val="0"/>
          <w:numId w:val="1006"/>
        </w:numPr>
      </w:pPr>
      <w:r>
        <w:rPr>
          <w:b/>
          <w:bCs/>
        </w:rPr>
        <w:t xml:space="preserve">Organic sales growth:</w:t>
      </w:r>
      <w:r>
        <w:t xml:space="preserve"> </w:t>
      </w:r>
      <w:r>
        <w:t xml:space="preserve">8.0%-9.5%</w:t>
      </w:r>
    </w:p>
    <w:p>
      <w:pPr>
        <w:pStyle w:val="Compact"/>
        <w:numPr>
          <w:ilvl w:val="0"/>
          <w:numId w:val="1006"/>
        </w:numPr>
      </w:pPr>
      <w:r>
        <w:rPr>
          <w:b/>
          <w:bCs/>
        </w:rPr>
        <w:t xml:space="preserve">Adjusted EPS:</w:t>
      </w:r>
      <w:r>
        <w:t xml:space="preserve"> </w:t>
      </w:r>
      <m:oMath>
        <m:r>
          <m:t>14.90</m:t>
        </m:r>
        <m:r>
          <m:rPr>
            <m:sty m:val="p"/>
          </m:rPr>
          <m:t>−</m:t>
        </m:r>
      </m:oMath>
      <w:r>
        <w:t xml:space="preserve">15.10</w:t>
      </w:r>
    </w:p>
    <w:p>
      <w:pPr>
        <w:pStyle w:val="Compact"/>
        <w:numPr>
          <w:ilvl w:val="0"/>
          <w:numId w:val="1006"/>
        </w:numPr>
      </w:pPr>
      <w:r>
        <w:rPr>
          <w:b/>
          <w:bCs/>
        </w:rPr>
        <w:t xml:space="preserve">Adjusted tax rate:</w:t>
      </w:r>
      <w:r>
        <w:t xml:space="preserve"> </w:t>
      </w:r>
      <w:r>
        <w:t xml:space="preserve">Approximately 15%-16%</w:t>
      </w:r>
    </w:p>
    <w:p>
      <w:pPr>
        <w:pStyle w:val="Compact"/>
        <w:numPr>
          <w:ilvl w:val="0"/>
          <w:numId w:val="1006"/>
        </w:numPr>
      </w:pPr>
      <w:r>
        <w:rPr>
          <w:b/>
          <w:bCs/>
        </w:rPr>
        <w:t xml:space="preserve">Adjusted other expense:</w:t>
      </w:r>
      <w:r>
        <w:t xml:space="preserve"> </w:t>
      </w:r>
      <w:r>
        <w:t xml:space="preserve">Approximately $420 million</w:t>
      </w:r>
    </w:p>
    <w:p>
      <w:pPr>
        <w:pStyle w:val="Compact"/>
        <w:numPr>
          <w:ilvl w:val="0"/>
          <w:numId w:val="1006"/>
        </w:numPr>
      </w:pPr>
      <w:r>
        <w:rPr>
          <w:b/>
          <w:bCs/>
        </w:rPr>
        <w:t xml:space="preserve">Free-cash-flow conversion:</w:t>
      </w:r>
      <w:r>
        <w:t xml:space="preserve"> </w:t>
      </w:r>
      <w:r>
        <w:t xml:space="preserve">Approximately 70%-80%</w:t>
      </w:r>
    </w:p>
    <w:p>
      <w:pPr>
        <w:pStyle w:val="FirstParagraph"/>
      </w:pPr>
      <w:r>
        <w:t xml:space="preserve">Because Q1 adjusted EPS was only $2.60, consensus assumes a substantial acceleration over the final three quarters. Reaffirming the guide is therefore necessary, but the language around it will matter.</w:t>
      </w:r>
    </w:p>
    <w:p>
      <w:pPr>
        <w:pStyle w:val="BodyText"/>
      </w:pPr>
      <w:r>
        <w:t xml:space="preserve">The strongest message would be that Stryker remains positioned for the upper half of both ranges while retaining upside from tariff relief or stronger-than-expected recovery. A technically unchanged guide accompanied by repeated references to second-half timing would be less reassuring.</w:t>
      </w:r>
    </w:p>
    <w:bookmarkEnd w:id="16"/>
    <w:bookmarkEnd w:id="17"/>
    <w:bookmarkStart w:id="22" w:name="business-level-watch-list"/>
    <w:p>
      <w:pPr>
        <w:pStyle w:val="Heading2"/>
      </w:pPr>
      <w:r>
        <w:t xml:space="preserve">Business-level watch list</w:t>
      </w:r>
    </w:p>
    <w:bookmarkStart w:id="19" w:name="Xcd1aabb2eadc8b4ee0a626559909b522beb872e"/>
    <w:p>
      <w:pPr>
        <w:pStyle w:val="Heading3"/>
      </w:pPr>
      <w:r>
        <w:t xml:space="preserve">Orthopaedics: Mako and implant pull-through</w:t>
      </w:r>
    </w:p>
    <w:p>
      <w:pPr>
        <w:pStyle w:val="FirstParagraph"/>
      </w:pPr>
      <w:r>
        <w:t xml:space="preserve">Orthopaedics should recover faster than some MedSurg capital businesses because much of its inventory is consigned at customer sites. Q1 also featured record Mako installations despite the disruption.</w:t>
      </w:r>
    </w:p>
    <w:p>
      <w:pPr>
        <w:pStyle w:val="BodyText"/>
      </w:pPr>
      <w:r>
        <w:t xml:space="preserve">Areas to watch:</w:t>
      </w:r>
    </w:p>
    <w:p>
      <w:pPr>
        <w:pStyle w:val="Compact"/>
        <w:numPr>
          <w:ilvl w:val="0"/>
          <w:numId w:val="1007"/>
        </w:numPr>
      </w:pPr>
      <w:r>
        <w:t xml:space="preserve">Knee and hip procedure growth;</w:t>
      </w:r>
    </w:p>
    <w:p>
      <w:pPr>
        <w:pStyle w:val="Compact"/>
        <w:numPr>
          <w:ilvl w:val="0"/>
          <w:numId w:val="1007"/>
        </w:numPr>
      </w:pPr>
      <w:r>
        <w:t xml:space="preserve">Trauma and Extremities, including the Pangea rollout;</w:t>
      </w:r>
    </w:p>
    <w:p>
      <w:pPr>
        <w:pStyle w:val="Compact"/>
        <w:numPr>
          <w:ilvl w:val="0"/>
          <w:numId w:val="1007"/>
        </w:numPr>
      </w:pPr>
      <w:r>
        <w:t xml:space="preserve">Mako 4 installations and utilization;</w:t>
      </w:r>
    </w:p>
    <w:p>
      <w:pPr>
        <w:pStyle w:val="Compact"/>
        <w:numPr>
          <w:ilvl w:val="0"/>
          <w:numId w:val="1007"/>
        </w:numPr>
      </w:pPr>
      <w:r>
        <w:t xml:space="preserve">The Mako Shoulder ramp;</w:t>
      </w:r>
    </w:p>
    <w:p>
      <w:pPr>
        <w:pStyle w:val="Compact"/>
        <w:numPr>
          <w:ilvl w:val="0"/>
          <w:numId w:val="1007"/>
        </w:numPr>
      </w:pPr>
      <w:r>
        <w:t xml:space="preserve">Triathlon Gold and medial-stabilized insert adoption;</w:t>
      </w:r>
    </w:p>
    <w:p>
      <w:pPr>
        <w:pStyle w:val="Compact"/>
        <w:numPr>
          <w:ilvl w:val="0"/>
          <w:numId w:val="1007"/>
        </w:numPr>
      </w:pPr>
      <w:r>
        <w:t xml:space="preserve">Whether competitive pricing has changed; and</w:t>
      </w:r>
    </w:p>
    <w:p>
      <w:pPr>
        <w:pStyle w:val="Compact"/>
        <w:numPr>
          <w:ilvl w:val="0"/>
          <w:numId w:val="1007"/>
        </w:numPr>
      </w:pPr>
      <w:r>
        <w:t xml:space="preserve">Early demand for Mako RPS.</w:t>
      </w:r>
    </w:p>
    <w:p>
      <w:pPr>
        <w:pStyle w:val="FirstParagraph"/>
      </w:pPr>
      <w:r>
        <w:t xml:space="preserve">Stryker moved Mako RPS from limited release to a full U.S. commercial launch on July 16. That timing means little direct Q2 revenue contribution, but commentary on orders, trials and customer conversion could influence second-half expectations. The system targets surgeons and sites that want robotic assistance with a more familiar handheld workflow, potentially broadening Mako's addressable market. (</w:t>
      </w:r>
      <w:hyperlink r:id="rId18">
        <w:r>
          <w:rPr>
            <w:rStyle w:val="Hyperlink"/>
          </w:rPr>
          <w:t xml:space="preserve">stryker.com</w:t>
        </w:r>
      </w:hyperlink>
      <w:r>
        <w:t xml:space="preserve">)</w:t>
      </w:r>
    </w:p>
    <w:p>
      <w:pPr>
        <w:pStyle w:val="BodyText"/>
      </w:pPr>
      <w:r>
        <w:rPr>
          <w:b/>
          <w:bCs/>
        </w:rPr>
        <w:t xml:space="preserve">Investor interpretation:</w:t>
      </w:r>
      <w:r>
        <w:t xml:space="preserve"> </w:t>
      </w:r>
      <w:r>
        <w:t xml:space="preserve">Strong Knee growth plus elevated Mako placements would support the view that robotics continues to drive implant share gains. Weak implant growth despite record installations would raise questions about utilization or competitive response.</w:t>
      </w:r>
    </w:p>
    <w:bookmarkEnd w:id="19"/>
    <w:bookmarkStart w:id="20" w:name="X8b513d0034c095cfcac601dbdeabd0d408f504b"/>
    <w:p>
      <w:pPr>
        <w:pStyle w:val="Heading3"/>
      </w:pPr>
      <w:r>
        <w:t xml:space="preserve">MedSurg and Neurotechnology: capital backlog versus shipment timing</w:t>
      </w:r>
    </w:p>
    <w:p>
      <w:pPr>
        <w:pStyle w:val="FirstParagraph"/>
      </w:pPr>
      <w:r>
        <w:t xml:space="preserve">Endoscopy and Medical are the businesses most likely to remain affected by the interruption because they contain more made-to-order capital equipment. Management has added production shifts in areas such as hospital beds, but some recovery was always expected in Q3 and Q4 rather than Q2.</w:t>
      </w:r>
    </w:p>
    <w:p>
      <w:pPr>
        <w:pStyle w:val="BodyText"/>
      </w:pPr>
      <w:r>
        <w:t xml:space="preserve">Watch for:</w:t>
      </w:r>
    </w:p>
    <w:p>
      <w:pPr>
        <w:pStyle w:val="Compact"/>
        <w:numPr>
          <w:ilvl w:val="0"/>
          <w:numId w:val="1008"/>
        </w:numPr>
      </w:pPr>
      <w:r>
        <w:t xml:space="preserve">Growth in Endoscopy and Medical;</w:t>
      </w:r>
    </w:p>
    <w:p>
      <w:pPr>
        <w:pStyle w:val="Compact"/>
        <w:numPr>
          <w:ilvl w:val="0"/>
          <w:numId w:val="1008"/>
        </w:numPr>
      </w:pPr>
      <w:r>
        <w:t xml:space="preserve">Capital order growth versus shipment growth;</w:t>
      </w:r>
    </w:p>
    <w:p>
      <w:pPr>
        <w:pStyle w:val="Compact"/>
        <w:numPr>
          <w:ilvl w:val="0"/>
          <w:numId w:val="1008"/>
        </w:numPr>
      </w:pPr>
      <w:r>
        <w:t xml:space="preserve">Backlog conversion and lead times;</w:t>
      </w:r>
    </w:p>
    <w:p>
      <w:pPr>
        <w:pStyle w:val="Compact"/>
        <w:numPr>
          <w:ilvl w:val="0"/>
          <w:numId w:val="1008"/>
        </w:numPr>
      </w:pPr>
      <w:r>
        <w:t xml:space="preserve">LIFEPAK 35 production;</w:t>
      </w:r>
    </w:p>
    <w:p>
      <w:pPr>
        <w:pStyle w:val="Compact"/>
        <w:numPr>
          <w:ilvl w:val="0"/>
          <w:numId w:val="1008"/>
        </w:numPr>
      </w:pPr>
      <w:r>
        <w:t xml:space="preserve">SmartCare momentum;</w:t>
      </w:r>
    </w:p>
    <w:p>
      <w:pPr>
        <w:pStyle w:val="Compact"/>
        <w:numPr>
          <w:ilvl w:val="0"/>
          <w:numId w:val="1008"/>
        </w:numPr>
      </w:pPr>
      <w:r>
        <w:t xml:space="preserve">Instruments and Neuro Cranial growth; and</w:t>
      </w:r>
    </w:p>
    <w:p>
      <w:pPr>
        <w:pStyle w:val="Compact"/>
        <w:numPr>
          <w:ilvl w:val="0"/>
          <w:numId w:val="1008"/>
        </w:numPr>
      </w:pPr>
      <w:r>
        <w:t xml:space="preserve">Whether the backlog continues to rise despite higher production.</w:t>
      </w:r>
    </w:p>
    <w:p>
      <w:pPr>
        <w:pStyle w:val="FirstParagraph"/>
      </w:pPr>
      <w:r>
        <w:t xml:space="preserve">A growing backlog is positive for demand but negative if it reflects continued inability to ship. Ideally, Stryker will report both healthy orders and improving backlog conversion.</w:t>
      </w:r>
    </w:p>
    <w:bookmarkEnd w:id="20"/>
    <w:bookmarkStart w:id="21" w:name="vascular-and-inari"/>
    <w:p>
      <w:pPr>
        <w:pStyle w:val="Heading3"/>
      </w:pPr>
      <w:r>
        <w:t xml:space="preserve">Vascular and Inari</w:t>
      </w:r>
    </w:p>
    <w:p>
      <w:pPr>
        <w:pStyle w:val="FirstParagraph"/>
      </w:pPr>
      <w:r>
        <w:t xml:space="preserve">Vascular remained one of Stryker's fastest-growing businesses in Q1. Management has indicated that the initial commercial disruption following the Inari acquisition—particularly sales-force attrition—is largely behind it.</w:t>
      </w:r>
    </w:p>
    <w:p>
      <w:pPr>
        <w:pStyle w:val="BodyText"/>
      </w:pPr>
      <w:r>
        <w:t xml:space="preserve">Investors should focus on:</w:t>
      </w:r>
    </w:p>
    <w:p>
      <w:pPr>
        <w:pStyle w:val="Compact"/>
        <w:numPr>
          <w:ilvl w:val="0"/>
          <w:numId w:val="1009"/>
        </w:numPr>
      </w:pPr>
      <w:r>
        <w:t xml:space="preserve">Inari's underlying growth rate;</w:t>
      </w:r>
    </w:p>
    <w:p>
      <w:pPr>
        <w:pStyle w:val="Compact"/>
        <w:numPr>
          <w:ilvl w:val="0"/>
          <w:numId w:val="1009"/>
        </w:numPr>
      </w:pPr>
      <w:r>
        <w:t xml:space="preserve">Sales-force productivity and retention;</w:t>
      </w:r>
    </w:p>
    <w:p>
      <w:pPr>
        <w:pStyle w:val="Compact"/>
        <w:numPr>
          <w:ilvl w:val="0"/>
          <w:numId w:val="1009"/>
        </w:numPr>
      </w:pPr>
      <w:r>
        <w:t xml:space="preserve">Progress integrating Stryker's commercial model;</w:t>
      </w:r>
    </w:p>
    <w:p>
      <w:pPr>
        <w:pStyle w:val="Compact"/>
        <w:numPr>
          <w:ilvl w:val="0"/>
          <w:numId w:val="1009"/>
        </w:numPr>
      </w:pPr>
      <w:r>
        <w:t xml:space="preserve">Margin progression;</w:t>
      </w:r>
    </w:p>
    <w:p>
      <w:pPr>
        <w:pStyle w:val="Compact"/>
        <w:numPr>
          <w:ilvl w:val="0"/>
          <w:numId w:val="1009"/>
        </w:numPr>
      </w:pPr>
      <w:r>
        <w:t xml:space="preserve">The venous-thromboembolism market; and</w:t>
      </w:r>
    </w:p>
    <w:p>
      <w:pPr>
        <w:pStyle w:val="Compact"/>
        <w:numPr>
          <w:ilvl w:val="0"/>
          <w:numId w:val="1009"/>
        </w:numPr>
      </w:pPr>
      <w:r>
        <w:t xml:space="preserve">The strategic fit of Amplitude Vascular Systems.</w:t>
      </w:r>
    </w:p>
    <w:p>
      <w:pPr>
        <w:pStyle w:val="FirstParagraph"/>
      </w:pPr>
      <w:r>
        <w:t xml:space="preserve">Stryker completed the AVS acquisition on May 7 for approximately</w:t>
      </w:r>
      <w:r>
        <w:t xml:space="preserve"> </w:t>
      </w:r>
      <w:r>
        <w:rPr>
          <w:b/>
          <w:bCs/>
        </w:rPr>
        <w:t xml:space="preserve">$435 million upfront plus as much as $400 million in milestones</w:t>
      </w:r>
      <w:r>
        <w:t xml:space="preserve">. AVS is developing an intravascular lithotripsy platform, so the near-term focus is likely regulatory and pipeline progress rather than material Q2 sales.</w:t>
      </w:r>
    </w:p>
    <w:bookmarkEnd w:id="21"/>
    <w:bookmarkEnd w:id="22"/>
    <w:bookmarkStart w:id="23" w:name="capital-allocation-and-balance-sheet"/>
    <w:p>
      <w:pPr>
        <w:pStyle w:val="Heading2"/>
      </w:pPr>
      <w:r>
        <w:t xml:space="preserve">Capital allocation and balance sheet</w:t>
      </w:r>
    </w:p>
    <w:p>
      <w:pPr>
        <w:pStyle w:val="FirstParagraph"/>
      </w:pPr>
      <w:r>
        <w:t xml:space="preserve">Stryker ended Q1 with approximately $2.9 billion of cash and marketable securities and roughly $14.7 billion of debt after repaying $1 billion of notes. The company continues to characterize M&amp;A as its first use of capital.</w:t>
      </w:r>
    </w:p>
    <w:p>
      <w:pPr>
        <w:pStyle w:val="BodyText"/>
      </w:pPr>
      <w:r>
        <w:t xml:space="preserve">Relevant questions include:</w:t>
      </w:r>
    </w:p>
    <w:p>
      <w:pPr>
        <w:pStyle w:val="Compact"/>
        <w:numPr>
          <w:ilvl w:val="0"/>
          <w:numId w:val="1010"/>
        </w:numPr>
      </w:pPr>
      <w:r>
        <w:t xml:space="preserve">Whether additional acquisitions are imminent;</w:t>
      </w:r>
    </w:p>
    <w:p>
      <w:pPr>
        <w:pStyle w:val="Compact"/>
        <w:numPr>
          <w:ilvl w:val="0"/>
          <w:numId w:val="1010"/>
        </w:numPr>
      </w:pPr>
      <w:r>
        <w:t xml:space="preserve">The preferred areas—cardiovascular, healthcare IT, neuromodulation or soft-tissue robotics;</w:t>
      </w:r>
    </w:p>
    <w:p>
      <w:pPr>
        <w:pStyle w:val="Compact"/>
        <w:numPr>
          <w:ilvl w:val="0"/>
          <w:numId w:val="1010"/>
        </w:numPr>
      </w:pPr>
      <w:r>
        <w:t xml:space="preserve">The pace of deleveraging after Inari;</w:t>
      </w:r>
    </w:p>
    <w:p>
      <w:pPr>
        <w:pStyle w:val="Compact"/>
        <w:numPr>
          <w:ilvl w:val="0"/>
          <w:numId w:val="1010"/>
        </w:numPr>
      </w:pPr>
      <w:r>
        <w:t xml:space="preserve">AVS milestone and development spending; and</w:t>
      </w:r>
    </w:p>
    <w:p>
      <w:pPr>
        <w:pStyle w:val="Compact"/>
        <w:numPr>
          <w:ilvl w:val="0"/>
          <w:numId w:val="1010"/>
        </w:numPr>
      </w:pPr>
      <w:r>
        <w:t xml:space="preserve">Whether cash generation has normalized after the cyber event.</w:t>
      </w:r>
    </w:p>
    <w:p>
      <w:pPr>
        <w:pStyle w:val="FirstParagraph"/>
      </w:pPr>
      <w:r>
        <w:t xml:space="preserve">Cash from operations was $581 million in Q1, but the quarter included unusual working-capital effects. First-half cash flow and inventory levels should help determine whether the recovery is translating into cash rather than merely reported revenue.</w:t>
      </w:r>
    </w:p>
    <w:bookmarkEnd w:id="23"/>
    <w:bookmarkStart w:id="24" w:name="stock-and-valuation-setup"/>
    <w:p>
      <w:pPr>
        <w:pStyle w:val="Heading2"/>
      </w:pPr>
      <w:r>
        <w:t xml:space="preserve">Stock and valuation setup</w:t>
      </w:r>
    </w:p>
    <w:p>
      <w:pPr>
        <w:pStyle w:val="FirstParagraph"/>
      </w:pPr>
      <w:r>
        <w:t xml:space="preserve">SYK closed July 29 at approximately</w:t>
      </w:r>
      <w:r>
        <w:t xml:space="preserve"> </w:t>
      </w:r>
      <w:r>
        <w:rPr>
          <w:b/>
          <w:bCs/>
        </w:rPr>
        <w:t xml:space="preserve">$351</w:t>
      </w:r>
      <w:r>
        <w:t xml:space="preserve">, roughly flat year to date but more than 20% above its early-May low. At current consensus, the stock trades around:</w:t>
      </w:r>
    </w:p>
    <w:p>
      <w:pPr>
        <w:pStyle w:val="Compact"/>
        <w:numPr>
          <w:ilvl w:val="0"/>
          <w:numId w:val="1011"/>
        </w:numPr>
      </w:pPr>
      <w:r>
        <w:rPr>
          <w:b/>
          <w:bCs/>
        </w:rPr>
        <w:t xml:space="preserve">23.4x FY2026 adjusted EPS</w:t>
      </w:r>
    </w:p>
    <w:p>
      <w:pPr>
        <w:pStyle w:val="Compact"/>
        <w:numPr>
          <w:ilvl w:val="0"/>
          <w:numId w:val="1011"/>
        </w:numPr>
      </w:pPr>
      <w:r>
        <w:rPr>
          <w:b/>
          <w:bCs/>
        </w:rPr>
        <w:t xml:space="preserve">21.1x FY2027 adjusted EPS</w:t>
      </w:r>
    </w:p>
    <w:p>
      <w:pPr>
        <w:pStyle w:val="FirstParagraph"/>
      </w:pPr>
      <w:r>
        <w:t xml:space="preserve">That valuation is below where a fully de-risked, consistently compounding Stryker can trade, but it is not distressed. The recent rebound suggests investors already expect a meaningful Q2 recovery. A modest beat with unchanged guidance may therefore produce a muted reaction; a miss or another recovery delay would likely be treated more harshly.</w:t>
      </w:r>
    </w:p>
    <w:bookmarkEnd w:id="24"/>
    <w:bookmarkStart w:id="28" w:name="earnings-scorecard"/>
    <w:p>
      <w:pPr>
        <w:pStyle w:val="Heading2"/>
      </w:pPr>
      <w:r>
        <w:t xml:space="preserve">Earnings scorecard</w:t>
      </w:r>
    </w:p>
    <w:bookmarkStart w:id="25" w:name="bullish-result"/>
    <w:p>
      <w:pPr>
        <w:pStyle w:val="Heading3"/>
      </w:pPr>
      <w:r>
        <w:t xml:space="preserve">Bullish result</w:t>
      </w:r>
    </w:p>
    <w:p>
      <w:pPr>
        <w:pStyle w:val="Compact"/>
        <w:numPr>
          <w:ilvl w:val="0"/>
          <w:numId w:val="1012"/>
        </w:numPr>
      </w:pPr>
      <w:r>
        <w:t xml:space="preserve">Revenue above approximately $6.6 billion;</w:t>
      </w:r>
    </w:p>
    <w:p>
      <w:pPr>
        <w:pStyle w:val="Compact"/>
        <w:numPr>
          <w:ilvl w:val="0"/>
          <w:numId w:val="1012"/>
        </w:numPr>
      </w:pPr>
      <w:r>
        <w:t xml:space="preserve">Organic growth around or above the full-year range;</w:t>
      </w:r>
    </w:p>
    <w:p>
      <w:pPr>
        <w:pStyle w:val="Compact"/>
        <w:numPr>
          <w:ilvl w:val="0"/>
          <w:numId w:val="1012"/>
        </w:numPr>
      </w:pPr>
      <w:r>
        <w:t xml:space="preserve">Adjusted EPS above $3.50;</w:t>
      </w:r>
    </w:p>
    <w:p>
      <w:pPr>
        <w:pStyle w:val="Compact"/>
        <w:numPr>
          <w:ilvl w:val="0"/>
          <w:numId w:val="1012"/>
        </w:numPr>
      </w:pPr>
      <w:r>
        <w:t xml:space="preserve">Sharp sequential operating-margin recovery;</w:t>
      </w:r>
    </w:p>
    <w:p>
      <w:pPr>
        <w:pStyle w:val="Compact"/>
        <w:numPr>
          <w:ilvl w:val="0"/>
          <w:numId w:val="1012"/>
        </w:numPr>
      </w:pPr>
      <w:r>
        <w:t xml:space="preserve">Clear evidence that manufacturing and revenue recognition have normalized;</w:t>
      </w:r>
    </w:p>
    <w:p>
      <w:pPr>
        <w:pStyle w:val="Compact"/>
        <w:numPr>
          <w:ilvl w:val="0"/>
          <w:numId w:val="1012"/>
        </w:numPr>
      </w:pPr>
      <w:r>
        <w:t xml:space="preserve">Strong capital orders with improving backlog conversion;</w:t>
      </w:r>
    </w:p>
    <w:p>
      <w:pPr>
        <w:pStyle w:val="Compact"/>
        <w:numPr>
          <w:ilvl w:val="0"/>
          <w:numId w:val="1012"/>
        </w:numPr>
      </w:pPr>
      <w:r>
        <w:t xml:space="preserve">Guidance reaffirmed with confidence in the upper half, or raised; and</w:t>
      </w:r>
    </w:p>
    <w:p>
      <w:pPr>
        <w:pStyle w:val="Compact"/>
        <w:numPr>
          <w:ilvl w:val="0"/>
          <w:numId w:val="1012"/>
        </w:numPr>
      </w:pPr>
      <w:r>
        <w:t xml:space="preserve">Continued Mako, Trauma, Vascular and international momentum.</w:t>
      </w:r>
    </w:p>
    <w:bookmarkEnd w:id="25"/>
    <w:bookmarkStart w:id="26" w:name="acceptable-result"/>
    <w:p>
      <w:pPr>
        <w:pStyle w:val="Heading3"/>
      </w:pPr>
      <w:r>
        <w:t xml:space="preserve">Acceptable result</w:t>
      </w:r>
    </w:p>
    <w:p>
      <w:pPr>
        <w:pStyle w:val="Compact"/>
        <w:numPr>
          <w:ilvl w:val="0"/>
          <w:numId w:val="1013"/>
        </w:numPr>
      </w:pPr>
      <w:r>
        <w:t xml:space="preserve">Revenue and EPS near consensus;</w:t>
      </w:r>
    </w:p>
    <w:p>
      <w:pPr>
        <w:pStyle w:val="Compact"/>
        <w:numPr>
          <w:ilvl w:val="0"/>
          <w:numId w:val="1013"/>
        </w:numPr>
      </w:pPr>
      <w:r>
        <w:t xml:space="preserve">Partial cyber recovery with the remainder spread credibly across Q3 and Q4;</w:t>
      </w:r>
    </w:p>
    <w:p>
      <w:pPr>
        <w:pStyle w:val="Compact"/>
        <w:numPr>
          <w:ilvl w:val="0"/>
          <w:numId w:val="1013"/>
        </w:numPr>
      </w:pPr>
      <w:r>
        <w:t xml:space="preserve">Margins improve sequentially but remain pressured year over year;</w:t>
      </w:r>
    </w:p>
    <w:p>
      <w:pPr>
        <w:pStyle w:val="Compact"/>
        <w:numPr>
          <w:ilvl w:val="0"/>
          <w:numId w:val="1013"/>
        </w:numPr>
      </w:pPr>
      <w:r>
        <w:t xml:space="preserve">Full-year guidance reiterated;</w:t>
      </w:r>
    </w:p>
    <w:p>
      <w:pPr>
        <w:pStyle w:val="Compact"/>
        <w:numPr>
          <w:ilvl w:val="0"/>
          <w:numId w:val="1013"/>
        </w:numPr>
      </w:pPr>
      <w:r>
        <w:t xml:space="preserve">No customer losses or deterioration in underlying demand.</w:t>
      </w:r>
    </w:p>
    <w:bookmarkEnd w:id="26"/>
    <w:bookmarkStart w:id="27" w:name="bearish-result"/>
    <w:p>
      <w:pPr>
        <w:pStyle w:val="Heading3"/>
      </w:pPr>
      <w:r>
        <w:t xml:space="preserve">Bearish result</w:t>
      </w:r>
    </w:p>
    <w:p>
      <w:pPr>
        <w:pStyle w:val="Compact"/>
        <w:numPr>
          <w:ilvl w:val="0"/>
          <w:numId w:val="1014"/>
        </w:numPr>
      </w:pPr>
      <w:r>
        <w:t xml:space="preserve">Organic growth materially below high single digits;</w:t>
      </w:r>
    </w:p>
    <w:p>
      <w:pPr>
        <w:pStyle w:val="Compact"/>
        <w:numPr>
          <w:ilvl w:val="0"/>
          <w:numId w:val="1014"/>
        </w:numPr>
      </w:pPr>
      <w:r>
        <w:t xml:space="preserve">More Q1 revenue shifted from Q2 into the second half;</w:t>
      </w:r>
    </w:p>
    <w:p>
      <w:pPr>
        <w:pStyle w:val="Compact"/>
        <w:numPr>
          <w:ilvl w:val="0"/>
          <w:numId w:val="1014"/>
        </w:numPr>
      </w:pPr>
      <w:r>
        <w:t xml:space="preserve">Continued production or shipment constraints;</w:t>
      </w:r>
    </w:p>
    <w:p>
      <w:pPr>
        <w:pStyle w:val="Compact"/>
        <w:numPr>
          <w:ilvl w:val="0"/>
          <w:numId w:val="1014"/>
        </w:numPr>
      </w:pPr>
      <w:r>
        <w:t xml:space="preserve">Weak margin recovery despite higher sales;</w:t>
      </w:r>
    </w:p>
    <w:p>
      <w:pPr>
        <w:pStyle w:val="Compact"/>
        <w:numPr>
          <w:ilvl w:val="0"/>
          <w:numId w:val="1014"/>
        </w:numPr>
      </w:pPr>
      <w:r>
        <w:t xml:space="preserve">Capital backlog rises primarily because shipments remain constrained;</w:t>
      </w:r>
    </w:p>
    <w:p>
      <w:pPr>
        <w:pStyle w:val="Compact"/>
        <w:numPr>
          <w:ilvl w:val="0"/>
          <w:numId w:val="1014"/>
        </w:numPr>
      </w:pPr>
      <w:r>
        <w:t xml:space="preserve">Full-year guidance lowered, or maintained only through aggressive Q4 assumptions; or</w:t>
      </w:r>
    </w:p>
    <w:p>
      <w:pPr>
        <w:pStyle w:val="Compact"/>
        <w:numPr>
          <w:ilvl w:val="0"/>
          <w:numId w:val="1014"/>
        </w:numPr>
      </w:pPr>
      <w:r>
        <w:t xml:space="preserve">Evidence of share loss, customer disruption or persistent Inari integration issues.</w:t>
      </w:r>
    </w:p>
    <w:bookmarkEnd w:id="27"/>
    <w:bookmarkEnd w:id="28"/>
    <w:bookmarkStart w:id="29" w:name="bottom-line"/>
    <w:p>
      <w:pPr>
        <w:pStyle w:val="Heading2"/>
      </w:pPr>
      <w:r>
        <w:t xml:space="preserve">Bottom line</w:t>
      </w:r>
    </w:p>
    <w:p>
      <w:pPr>
        <w:pStyle w:val="FirstParagraph"/>
      </w:pPr>
      <w:r>
        <w:rPr>
          <w:b/>
          <w:bCs/>
        </w:rPr>
        <w:t xml:space="preserve">Q2 is a credibility quarter.</w:t>
      </w:r>
      <w:r>
        <w:t xml:space="preserve"> </w:t>
      </w:r>
      <w:r>
        <w:t xml:space="preserve">Stryker does not need to recover every dollar affected by the cyberattack immediately, but it needs to demonstrate that the disruption was temporary, the operating system is functioning normally, and the remaining recovery can occur without sacrificing margins or overloading Q4.</w:t>
      </w:r>
    </w:p>
    <w:p>
      <w:pPr>
        <w:pStyle w:val="BodyText"/>
      </w:pPr>
      <w:r>
        <w:t xml:space="preserve">The most important number may not be the headline EPS. It will be the combination of</w:t>
      </w:r>
      <w:r>
        <w:t xml:space="preserve"> </w:t>
      </w:r>
      <w:r>
        <w:rPr>
          <w:b/>
          <w:bCs/>
        </w:rPr>
        <w:t xml:space="preserve">organic growth, adjusted operating margin and management's description of what remains to be recovered</w:t>
      </w:r>
      <w:r>
        <w:t xml:space="preserve">. If those three elements are strong, the long-term case—above-market growth driven by Mako, Trauma, Vascular, capital equipment and disciplined M&amp;A—should reassert itself. If they are weak, investors will question whether the 2026 guidance is a realistic operating plan or simply a back-end-loaded target.</w:t>
      </w:r>
    </w:p>
    <w:bookmarkEnd w:id="29"/>
    <w:bookmarkEnd w:id="30"/>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 Type="http://schemas.openxmlformats.org/officeDocument/2006/relationships/hyperlink" Id="rId11" Target="https://stage.zacks.com/stock/quote/SYK/detailed-earning-estimates?icid=SITE_SECTION-SUB_SECTION-quote_nav_tracking-zcom-left_subnav_quote_navbar-detailed_earning_estimates" TargetMode="External" /><Relationship Type="http://schemas.openxmlformats.org/officeDocument/2006/relationships/hyperlink" Id="rId9" Target="https://www.sec.gov/Archives/edgar/data/310764/000031076426000025/sykex991earningsq12026.htm?utm_source=openai" TargetMode="External" /><Relationship Type="http://schemas.openxmlformats.org/officeDocument/2006/relationships/hyperlink" Id="rId18" Target="https://www.stryker.com/us/en/about/news/2026/stryker-expands-mako-robotics-portfolio.html?utm_source=openai" TargetMode="External" /></Relationships>
</file>

<file path=word/_rels/footnotes.xml.rels><?xml version="1.0" encoding="UTF-8"?><Relationships xmlns="http://schemas.openxmlformats.org/package/2006/relationships"><Relationship Type="http://schemas.openxmlformats.org/officeDocument/2006/relationships/hyperlink" Id="rId11" Target="https://stage.zacks.com/stock/quote/SYK/detailed-earning-estimates?icid=SITE_SECTION-SUB_SECTION-quote_nav_tracking-zcom-left_subnav_quote_navbar-detailed_earning_estimates" TargetMode="External" /><Relationship Type="http://schemas.openxmlformats.org/officeDocument/2006/relationships/hyperlink" Id="rId9" Target="https://www.sec.gov/Archives/edgar/data/310764/000031076426000025/sykex991earningsq12026.htm?utm_source=openai" TargetMode="External" /><Relationship Type="http://schemas.openxmlformats.org/officeDocument/2006/relationships/hyperlink" Id="rId18" Target="https://www.stryker.com/us/en/about/news/2026/stryker-expands-mako-robotics-portfolio.html?utm_source=openai"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2026-07-29T19:15:50Z</dcterms:created>
  <dcterms:modified xsi:type="dcterms:W3CDTF">2026-07-29T19:15:50Z</dcterms:modified>
</cp:coreProperties>
</file>

<file path=docProps/custom.xml><?xml version="1.0" encoding="utf-8"?>
<Properties xmlns="http://schemas.openxmlformats.org/officeDocument/2006/custom-properties" xmlns:vt="http://schemas.openxmlformats.org/officeDocument/2006/docPropsVTypes"/>
</file>