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TER (Teradyne) to build a well-informed earnings preview. Let me start gathering data.Let me dig into the most recent earnings call and release, plus recent news and price action.Let me pull TER's stock price action and check for recent analyst/news context.I have what I need. Let me write the preview.Here's the earnings preview.</w:t>
      </w:r>
    </w:p>
    <w:p>
      <w:r>
        <w:pict>
          <v:rect style="width:0;height:1.5pt" o:hralign="center" o:hrstd="t" o:hr="t"/>
        </w:pict>
      </w:r>
    </w:p>
    <w:bookmarkStart w:id="19" w:name="teradyne-ter--q2-2026-earnings-preview"/>
    <w:p>
      <w:pPr>
        <w:pStyle w:val="Heading1"/>
      </w:pPr>
      <w:r>
        <w:t xml:space="preserve">Teradyne (TER) — Q2 2026 Earnings Preview</w:t>
      </w:r>
    </w:p>
    <w:bookmarkStart w:id="9" w:name="X9e039ad0b647c3e6df027616660b130b8412ba4"/>
    <w:p>
      <w:pPr>
        <w:pStyle w:val="Heading3"/>
      </w:pPr>
      <w:r>
        <w:t xml:space="preserve">Reports after the close, Tuesday, July 28, 2026 · 2026Q2 Earnings Call</w:t>
      </w:r>
    </w:p>
    <w:bookmarkEnd w:id="9"/>
    <w:bookmarkStart w:id="10" w:name="the-one-line-setup"/>
    <w:p>
      <w:pPr>
        <w:pStyle w:val="Heading2"/>
      </w:pPr>
      <w:r>
        <w:t xml:space="preserve">The one-line setup</w:t>
      </w:r>
    </w:p>
    <w:p>
      <w:pPr>
        <w:pStyle w:val="FirstParagraph"/>
      </w:pPr>
      <w:r>
        <w:t xml:space="preserve">Teradyne is the purest large-cap way to play the semiconductor test cycle, and AI has turned that cycle vertical. The fundamental story going in is excellent — but so is everything the market already knows, and that's the whole problem. Sentiment is very bullish on fundamentals in the semi test business given robust AI-linked demand, but the valuation is rich and the bar is high, meaning any disappointment will be punished much more than an upside print will be rewarded.</w:t>
      </w:r>
    </w:p>
    <w:bookmarkEnd w:id="10"/>
    <w:bookmarkStart w:id="11" w:name="what-the-street-expects"/>
    <w:p>
      <w:pPr>
        <w:pStyle w:val="Heading2"/>
      </w:pPr>
      <w:r>
        <w:t xml:space="preserve">What the Street expects</w:t>
      </w:r>
    </w:p>
    <w:p>
      <w:pPr>
        <w:pStyle w:val="Compact"/>
        <w:numPr>
          <w:ilvl w:val="0"/>
          <w:numId w:val="1001"/>
        </w:numPr>
      </w:pPr>
      <w:r>
        <w:t xml:space="preserve">The Street is looking for sales +87% to $1.21B (including semi test +112% to $1.041B) with gross margins of 58.5% and EPS +260.4% to $2.05.</w:t>
      </w:r>
    </w:p>
    <w:p>
      <w:pPr>
        <w:pStyle w:val="Compact"/>
        <w:numPr>
          <w:ilvl w:val="0"/>
          <w:numId w:val="1001"/>
        </w:numPr>
      </w:pPr>
      <w:r>
        <w:t xml:space="preserve">Company guidance (set April 29): revenue in the range of $1.15 billion to $1.25 billion and non-GAAP EPS of $1.86 to $2.15. Gross margins are expected to be in the range of 58% to 59% normalized for peak volumes and onetime benefits. Operating expenses ~27–28% of sales; operating margin 30–32%.</w:t>
      </w:r>
    </w:p>
    <w:p>
      <w:pPr>
        <w:pStyle w:val="FirstParagraph"/>
      </w:pPr>
      <w:r>
        <w:t xml:space="preserve">So consensus (~$1.21B / $2.05) sits right around the guidance midpoint. Given TER's recent habit of guiding conservatively and beating, the bar that actually matters is not the Q2 print — it's the second-half commentary.</w:t>
      </w:r>
    </w:p>
    <w:bookmarkEnd w:id="11"/>
    <w:bookmarkStart w:id="12" w:name="Xad8284960cc1828e18d39a60506a6a91e183b17"/>
    <w:p>
      <w:pPr>
        <w:pStyle w:val="Heading2"/>
      </w:pPr>
      <w:r>
        <w:t xml:space="preserve">Why the second half is the whole ballgame</w:t>
      </w:r>
    </w:p>
    <w:p>
      <w:pPr>
        <w:pStyle w:val="FirstParagraph"/>
      </w:pPr>
      <w:r>
        <w:t xml:space="preserve">This was the crux of the Q1 call and it will be again. Despite a blowout Q1, management pointedly did</w:t>
      </w:r>
      <w:r>
        <w:t xml:space="preserve"> </w:t>
      </w:r>
      <w:r>
        <w:rPr>
          <w:b/>
          <w:bCs/>
        </w:rPr>
        <w:t xml:space="preserve">not</w:t>
      </w:r>
      <w:r>
        <w:t xml:space="preserve"> </w:t>
      </w:r>
      <w:r>
        <w:t xml:space="preserve">raise the full year, framing 2026 as first-half weighted with a widened range. Based on current customer order visibility, we continue to expect first half weighted revenue with approximately 55% to 60% of annual revenue expected in the first half. That was a change from the prior point estimate of 60%, and management was explicit that the low end reflects timing risk — either lumpy large-customer ordering or "hiccups in the AI data center build-out" affecting when testers get accepted.</w:t>
      </w:r>
    </w:p>
    <w:p>
      <w:pPr>
        <w:pStyle w:val="BodyText"/>
      </w:pPr>
      <w:r>
        <w:t xml:space="preserve">The reason visibility is limited despite roaring demand is structural: the lead time for a tester is on the order of the same as the lead time for the actual wafer, not the wafer front-end equipment. And these are — our customers are rapidly trying to build out capacity to be able to support all of the phases of production. Front-end orders are booked well ahead; test orders only firm up once wafers are flowing. Management's own framing of the risk: This concentration also increases the risk that bottlenecks in other areas could shift demand for our products, which can lead to short-term demand peaks and valleys superimposed over a long-term strong growth trend. In other words, it's lumpy growth.</w:t>
      </w:r>
    </w:p>
    <w:p>
      <w:pPr>
        <w:pStyle w:val="BodyText"/>
      </w:pPr>
      <w:r>
        <w:rPr>
          <w:b/>
          <w:bCs/>
        </w:rPr>
        <w:t xml:space="preserve">Watch for:</w:t>
      </w:r>
      <w:r>
        <w:t xml:space="preserve"> </w:t>
      </w:r>
      <w:r>
        <w:t xml:space="preserve">any move to firm up or raise the H2 outlook (toward the 60%-weighted / less back-half-light end would be read bullishly), and updated color on Q4 visibility. A "demand is great but we still can't see Q4" message will not satisfy a stock priced for perfection.</w:t>
      </w:r>
    </w:p>
    <w:bookmarkEnd w:id="12"/>
    <w:bookmarkStart w:id="13" w:name="Xc83e78003706e4de597c25c9af58af309aa75d7"/>
    <w:p>
      <w:pPr>
        <w:pStyle w:val="Heading2"/>
      </w:pPr>
      <w:r>
        <w:t xml:space="preserve">The Q1 baseline was extraordinary — set expectations against it</w:t>
      </w:r>
    </w:p>
    <w:p>
      <w:pPr>
        <w:pStyle w:val="FirstParagraph"/>
      </w:pPr>
      <w:r>
        <w:t xml:space="preserve">First quarter sales were $1.282 billion with non-GAAP EPS of $2.56, both above the high end of our guidance range. Total company sales were up 87% from first quarter last year and up 18% sequentially. AI-related demand accounted for nearly 70% of our revenue, up from about 60% in Q4 of 2025. Segment mix in Q1: SemiTest $1.11B, Robotics $91M, Product Test $80M; within SemiTest, SoC $883M, memory $203M, IST $27M, with compute ~75% of SoC.</w:t>
      </w:r>
    </w:p>
    <w:p>
      <w:pPr>
        <w:pStyle w:val="BodyText"/>
      </w:pPr>
      <w:r>
        <w:t xml:space="preserve">Note Q2 guidance implies a</w:t>
      </w:r>
      <w:r>
        <w:t xml:space="preserve"> </w:t>
      </w:r>
      <w:r>
        <w:rPr>
          <w:b/>
          <w:bCs/>
        </w:rPr>
        <w:t xml:space="preserve">sequential step-down</w:t>
      </w:r>
      <w:r>
        <w:t xml:space="preserve"> </w:t>
      </w:r>
      <w:r>
        <w:t xml:space="preserve">in revenue, margins and EPS off that Q1 peak — expected and well telegraphed, but a reminder that the y/y comparisons stay easy while the sequential story is lumpy.</w:t>
      </w:r>
    </w:p>
    <w:bookmarkEnd w:id="13"/>
    <w:bookmarkStart w:id="14" w:name="key-drivers-to-track-on-the-call"/>
    <w:p>
      <w:pPr>
        <w:pStyle w:val="Heading2"/>
      </w:pPr>
      <w:r>
        <w:t xml:space="preserve">Key drivers to track on the call</w:t>
      </w:r>
    </w:p>
    <w:p>
      <w:pPr>
        <w:pStyle w:val="FirstParagraph"/>
      </w:pPr>
      <w:r>
        <w:rPr>
          <w:b/>
          <w:bCs/>
        </w:rPr>
        <w:t xml:space="preserve">1. Merchant GPU — the incremental swing factor.</w:t>
      </w:r>
      <w:r>
        <w:t xml:space="preserve"> </w:t>
      </w:r>
      <w:r>
        <w:t xml:space="preserve">This is the newest leg of the story. I am pleased to share that we have received our first multisystem production test orders for merchant GPU in Q1. We expect these systems to ship, be installed and be in production in Q2. For 2026 it's small — we have line of sight to about $50 million in revenue for merchant GPU, but our visibility into the second half is quite limited — but the multi-year framing is what matters: management expects a "fast follower" ramp toward a dual source customer is going to be managing share in that 30% to 70% range. It's going to take us a few years to get there. Any evidence the fast-follower phase is converting SKUs faster than expected is upside; a stall is a red flag.</w:t>
      </w:r>
    </w:p>
    <w:p>
      <w:pPr>
        <w:pStyle w:val="BodyText"/>
      </w:pPr>
      <w:r>
        <w:rPr>
          <w:b/>
          <w:bCs/>
        </w:rPr>
        <w:t xml:space="preserve">2. Memory / HBM — potential H2 accelerator.</w:t>
      </w:r>
      <w:r>
        <w:t xml:space="preserve"> </w:t>
      </w:r>
      <w:r>
        <w:t xml:space="preserve">Memory test demand appears to be even stronger than our view in January, with AI compute demand for both HBM and DRAM continuing to act as an accelerator. Importantly, memory is a counterweight to the H1 skew — that, I think, is actually going to end up being more back half weighted than front half weighted. And the stronger that memory gets, the more we're going to be able to trend towards that 55% end of the range.</w:t>
      </w:r>
    </w:p>
    <w:p>
      <w:pPr>
        <w:pStyle w:val="BodyText"/>
      </w:pPr>
      <w:r>
        <w:rPr>
          <w:b/>
          <w:bCs/>
        </w:rPr>
        <w:t xml:space="preserve">3. Networking / silicon photonics / CPO.</w:t>
      </w:r>
      <w:r>
        <w:t xml:space="preserve"> </w:t>
      </w:r>
      <w:r>
        <w:t xml:space="preserve">Networking started strong with under-appreciated H2 upside. The newer optical opportunity (Photon100 platform) is early but potentially large: we expect that this is a meaningful TAM expansion opportunity, which could reach $300 million to $700 million per year over the midterm. 2026 contribution is modest — roughly $100M — and CPO share is currently split roughly evenly with Advantest. Listen for order momentum and any read on the timing/slope of the ramp into 2027–2028.</w:t>
      </w:r>
    </w:p>
    <w:p>
      <w:pPr>
        <w:pStyle w:val="BodyText"/>
      </w:pPr>
      <w:r>
        <w:rPr>
          <w:b/>
          <w:bCs/>
        </w:rPr>
        <w:t xml:space="preserve">4. Custom ASICs.</w:t>
      </w:r>
      <w:r>
        <w:t xml:space="preserve"> </w:t>
      </w:r>
      <w:r>
        <w:t xml:space="preserve">Still the core AI-compute engine, with two hyperscaler programs at scale. Management is competing for both new programs and dual-source status, with the timing for that would be more 2027 than 2026.</w:t>
      </w:r>
    </w:p>
    <w:p>
      <w:pPr>
        <w:pStyle w:val="BodyText"/>
      </w:pPr>
      <w:r>
        <w:rPr>
          <w:b/>
          <w:bCs/>
        </w:rPr>
        <w:t xml:space="preserve">5. Robotics — is the turn real?</w:t>
      </w:r>
      <w:r>
        <w:t xml:space="preserve"> </w:t>
      </w:r>
      <w:r>
        <w:t xml:space="preserve">In Robotics, we delivered our fourth consecutive quarter of sequential growth. Q1 revenue $91M, +32% y/y. Management remains deliberately cautious here, so a fifth straight sequential gain plus firmer funnel commentary would be an incremental positive after years of disappointment.</w:t>
      </w:r>
    </w:p>
    <w:p>
      <w:pPr>
        <w:pStyle w:val="BodyText"/>
      </w:pPr>
      <w:r>
        <w:rPr>
          <w:b/>
          <w:bCs/>
        </w:rPr>
        <w:t xml:space="preserve">6. Auto/Industrial.</w:t>
      </w:r>
      <w:r>
        <w:t xml:space="preserve"> </w:t>
      </w:r>
      <w:r>
        <w:t xml:space="preserve">Recovering but data-center-driven, not a broad cyclical rebound yet — right now, data center is hot, hot, hot in that segment... but we haven't seen that translate into increased demand for capital equipment in the auto and industrial part of that beyond data center. A genuine analog/industrial recovery would be a durable, higher-quality demand layer.</w:t>
      </w:r>
    </w:p>
    <w:bookmarkEnd w:id="14"/>
    <w:bookmarkStart w:id="15" w:name="Xe1e5e3050dc693be81fb2502044501fa803744c"/>
    <w:p>
      <w:pPr>
        <w:pStyle w:val="Heading2"/>
      </w:pPr>
      <w:r>
        <w:t xml:space="preserve">Margins — expect normalization, not a scare</w:t>
      </w:r>
    </w:p>
    <w:p>
      <w:pPr>
        <w:pStyle w:val="FirstParagraph"/>
      </w:pPr>
      <w:r>
        <w:t xml:space="preserve">Q1's 60.9% gross margin was flattered by one-timers. Management framed the ~240bp Q2 step-down as roughly half nonrecurring operational benefits rolling off and half mix normalization, and stressed margins are lumpy quarter to quarter but tight year over year (~200bp). First-half GM is expected around 59.7%, the low end of the 59–61% target model. Don't over-read a sequential dip; do watch whether full-year GM stays in the target band as volume mix shifts.</w:t>
      </w:r>
    </w:p>
    <w:bookmarkEnd w:id="15"/>
    <w:bookmarkStart w:id="16" w:name="X6dbb7212f18c1a684279505f9be3524e3d7a6aa"/>
    <w:p>
      <w:pPr>
        <w:pStyle w:val="Heading2"/>
      </w:pPr>
      <w:r>
        <w:t xml:space="preserve">The bigger picture management wants you to hold onto</w:t>
      </w:r>
    </w:p>
    <w:p>
      <w:pPr>
        <w:pStyle w:val="FirstParagraph"/>
      </w:pPr>
      <w:r>
        <w:t xml:space="preserve">Beyond the quarterly lumpiness, TER continues to point at a multi-year "wafer to AI data center" thesis built on three stacked AI waves (general-purpose build-out → inference-at-scale → edge/physical AI) and reiterated its target model of $6 billion in revenue and $9.50 to</w:t>
      </w:r>
      <w:r>
        <w:t xml:space="preserve"> </w:t>
      </w:r>
      <m:oMath>
        <m:r>
          <m:t>11</m:t>
        </m:r>
        <m:r>
          <m:t>i</m:t>
        </m:r>
        <m:r>
          <m:t>n</m:t>
        </m:r>
        <m:r>
          <m:t>n</m:t>
        </m:r>
        <m:r>
          <m:t>o</m:t>
        </m:r>
        <m:r>
          <m:t>n</m:t>
        </m:r>
        <m:r>
          <m:rPr>
            <m:sty m:val="p"/>
          </m:rPr>
          <m:t>−</m:t>
        </m:r>
        <m:r>
          <m:t>G</m:t>
        </m:r>
        <m:r>
          <m:t>A</m:t>
        </m:r>
        <m:r>
          <m:t>A</m:t>
        </m:r>
        <m:r>
          <m:t>P</m:t>
        </m:r>
        <m:r>
          <m:t>E</m:t>
        </m:r>
        <m:r>
          <m:t>P</m:t>
        </m:r>
        <m:r>
          <m:t>S</m:t>
        </m:r>
        <m:r>
          <m:rPr>
            <m:sty m:val="p"/>
          </m:rPr>
          <m:t>.</m:t>
        </m:r>
        <m:r>
          <m:t>N</m:t>
        </m:r>
        <m:r>
          <m:t>o</m:t>
        </m:r>
        <m:r>
          <m:t>t</m:t>
        </m:r>
        <m:r>
          <m:t>e</m:t>
        </m:r>
        <m:r>
          <m:t>t</m:t>
        </m:r>
        <m:r>
          <m:t>h</m:t>
        </m:r>
        <m:r>
          <m:t>i</m:t>
        </m:r>
        <m:r>
          <m:t>s</m:t>
        </m:r>
        <m:r>
          <m:t>i</m:t>
        </m:r>
        <m:r>
          <m:t>s</m:t>
        </m:r>
        <m:r>
          <m:t>a</m:t>
        </m:r>
        <m:r>
          <m:rPr>
            <m:sty m:val="p"/>
          </m:rPr>
          <m:t>*</m:t>
        </m:r>
        <m:r>
          <m:rPr>
            <m:sty m:val="p"/>
          </m:rPr>
          <m:t>*</m:t>
        </m:r>
        <m:r>
          <m:t>m</m:t>
        </m:r>
        <m:r>
          <m:t>i</m:t>
        </m:r>
        <m:r>
          <m:t>d</m:t>
        </m:r>
        <m:r>
          <m:rPr>
            <m:sty m:val="p"/>
          </m:rPr>
          <m:t>−</m:t>
        </m:r>
        <m:r>
          <m:t>t</m:t>
        </m:r>
        <m:r>
          <m:t>e</m:t>
        </m:r>
        <m:r>
          <m:t>r</m:t>
        </m:r>
        <m:r>
          <m:t>m</m:t>
        </m:r>
        <m:r>
          <m:t>t</m:t>
        </m:r>
        <m:r>
          <m:t>a</m:t>
        </m:r>
        <m:r>
          <m:t>r</m:t>
        </m:r>
        <m:r>
          <m:t>g</m:t>
        </m:r>
        <m:r>
          <m:t>e</m:t>
        </m:r>
        <m:r>
          <m:t>t</m:t>
        </m:r>
        <m:r>
          <m:t>m</m:t>
        </m:r>
        <m:r>
          <m:t>o</m:t>
        </m:r>
        <m:r>
          <m:t>d</m:t>
        </m:r>
        <m:r>
          <m:t>e</m:t>
        </m:r>
        <m:r>
          <m:t>l</m:t>
        </m:r>
        <m:r>
          <m:rPr>
            <m:sty m:val="p"/>
          </m:rPr>
          <m:t>*</m:t>
        </m:r>
        <m:r>
          <m:rPr>
            <m:sty m:val="p"/>
          </m:rPr>
          <m:t>*</m:t>
        </m:r>
        <m:r>
          <m:rPr>
            <m:sty m:val="p"/>
          </m:rPr>
          <m:t>,</m:t>
        </m:r>
        <m:r>
          <m:t>n</m:t>
        </m:r>
        <m:r>
          <m:t>o</m:t>
        </m:r>
        <m:r>
          <m:t>t</m:t>
        </m:r>
        <m:r>
          <m:t>2026</m:t>
        </m:r>
        <m:r>
          <m:t>g</m:t>
        </m:r>
        <m:r>
          <m:t>u</m:t>
        </m:r>
        <m:r>
          <m:t>i</m:t>
        </m:r>
        <m:r>
          <m:t>d</m:t>
        </m:r>
        <m:r>
          <m:t>a</m:t>
        </m:r>
        <m:r>
          <m:t>n</m:t>
        </m:r>
        <m:r>
          <m:t>c</m:t>
        </m:r>
        <m:r>
          <m:t>e</m:t>
        </m:r>
        <m:r>
          <m:rPr>
            <m:sty m:val="p"/>
          </m:rPr>
          <m:t>—</m:t>
        </m:r>
        <m:r>
          <m:t>w</m:t>
        </m:r>
        <m:r>
          <m:t>i</m:t>
        </m:r>
        <m:r>
          <m:t>t</m:t>
        </m:r>
        <m:r>
          <m:t>h</m:t>
        </m:r>
        <m:r>
          <m:t>H</m:t>
        </m:r>
        <m:r>
          <m:t>1</m:t>
        </m:r>
        <m:r>
          <m:t>r</m:t>
        </m:r>
        <m:r>
          <m:t>e</m:t>
        </m:r>
        <m:r>
          <m:t>v</m:t>
        </m:r>
        <m:r>
          <m:t>e</m:t>
        </m:r>
        <m:r>
          <m:t>n</m:t>
        </m:r>
        <m:r>
          <m:t>u</m:t>
        </m:r>
        <m:r>
          <m:t>e</m:t>
        </m:r>
        <m:r>
          <m:t>t</m:t>
        </m:r>
        <m:r>
          <m:t>r</m:t>
        </m:r>
        <m:r>
          <m:t>a</m:t>
        </m:r>
        <m:r>
          <m:t>c</m:t>
        </m:r>
        <m:r>
          <m:t>k</m:t>
        </m:r>
        <m:r>
          <m:t>i</m:t>
        </m:r>
        <m:r>
          <m:t>n</m:t>
        </m:r>
        <m:r>
          <m:t>g</m:t>
        </m:r>
        <m:r>
          <m:t> </m:t>
        </m:r>
      </m:oMath>
      <w:r>
        <w:t xml:space="preserve">2.5B at ~55–60% weighting, FY2026 implies roughly ~$4.3–4.5B. The gap between that and $6B is the runway management is asking investors to underwrite.</w:t>
      </w:r>
    </w:p>
    <w:bookmarkEnd w:id="16"/>
    <w:bookmarkStart w:id="17" w:name="X084c8a501d0f697ccdae17e5e10e36698d84dd7"/>
    <w:p>
      <w:pPr>
        <w:pStyle w:val="Heading2"/>
      </w:pPr>
      <w:r>
        <w:t xml:space="preserve">Valuation &amp; positioning — why the reaction risk is asymmetric</w:t>
      </w:r>
    </w:p>
    <w:p>
      <w:pPr>
        <w:pStyle w:val="FirstParagraph"/>
      </w:pPr>
      <w:r>
        <w:t xml:space="preserve">The stock has been a monster and a rollercoaster:</w:t>
      </w:r>
    </w:p>
    <w:p>
      <w:pPr>
        <w:pStyle w:val="Compact"/>
        <w:numPr>
          <w:ilvl w:val="0"/>
          <w:numId w:val="1002"/>
        </w:numPr>
      </w:pPr>
      <w:r>
        <w:rPr>
          <w:b/>
          <w:bCs/>
        </w:rPr>
        <w:t xml:space="preserve">~+267% over the past year</w:t>
      </w:r>
      <w:r>
        <w:t xml:space="preserve"> </w:t>
      </w:r>
      <w:r>
        <w:t xml:space="preserve">(from ~$91 last July) and **~+61% year-to-date** in 2026.</w:t>
      </w:r>
    </w:p>
    <w:p>
      <w:pPr>
        <w:pStyle w:val="Compact"/>
        <w:numPr>
          <w:ilvl w:val="0"/>
          <w:numId w:val="1002"/>
        </w:numPr>
      </w:pPr>
      <w:r>
        <w:t xml:space="preserve">It hit an all-time high of ~</w:t>
      </w:r>
      <m:oMath>
        <m:r>
          <m:t>484</m:t>
        </m:r>
        <m:r>
          <m:t>o</m:t>
        </m:r>
        <m:r>
          <m:t>n</m:t>
        </m:r>
        <m:r>
          <m:t>J</m:t>
        </m:r>
        <m:r>
          <m:t>u</m:t>
        </m:r>
        <m:r>
          <m:t>n</m:t>
        </m:r>
        <m:r>
          <m:t>e</m:t>
        </m:r>
        <m:r>
          <m:t>30</m:t>
        </m:r>
        <m:r>
          <m:rPr>
            <m:sty m:val="p"/>
          </m:rPr>
          <m:t>,</m:t>
        </m:r>
        <m:r>
          <m:t>t</m:t>
        </m:r>
        <m:r>
          <m:t>h</m:t>
        </m:r>
        <m:r>
          <m:t>e</m:t>
        </m:r>
        <m:r>
          <m:t>n</m:t>
        </m:r>
        <m:r>
          <m:t>f</m:t>
        </m:r>
        <m:r>
          <m:t>e</m:t>
        </m:r>
        <m:r>
          <m:t>l</m:t>
        </m:r>
        <m:r>
          <m:t>l</m:t>
        </m:r>
        <m:r>
          <m:t>b</m:t>
        </m:r>
        <m:r>
          <m:t>a</m:t>
        </m:r>
        <m:r>
          <m:t>c</m:t>
        </m:r>
        <m:r>
          <m:t>k</m:t>
        </m:r>
        <m:r>
          <m:t>t</m:t>
        </m:r>
        <m:r>
          <m:t>o</m:t>
        </m:r>
        <m:r>
          <m:rPr>
            <m:sty m:val="p"/>
          </m:rPr>
          <m:t>*</m:t>
        </m:r>
        <m:r>
          <m:rPr>
            <m:sty m:val="p"/>
          </m:rPr>
          <m:t>*</m:t>
        </m:r>
        <m:r>
          <m:t> </m:t>
        </m:r>
      </m:oMath>
      <w:r>
        <w:t xml:space="preserve">335** (July 27) —</w:t>
      </w:r>
      <w:r>
        <w:t xml:space="preserve"> </w:t>
      </w:r>
      <w:r>
        <w:rPr>
          <w:b/>
          <w:bCs/>
        </w:rPr>
        <w:t xml:space="preserve">down ~31% from that peak</w:t>
      </w:r>
      <w:r>
        <w:t xml:space="preserve"> </w:t>
      </w:r>
      <w:r>
        <w:t xml:space="preserve">— heading into the print. Market cap is roughly ~$52B.</w:t>
      </w:r>
    </w:p>
    <w:p>
      <w:pPr>
        <w:pStyle w:val="FirstParagraph"/>
      </w:pPr>
      <w:r>
        <w:t xml:space="preserve">That leaves a high-multiple stock (well north of ~40x forward EPS) that has already given back a chunk of gains — a setup where good-but-not-great could still sell off. The precedent is fresh: after the</w:t>
      </w:r>
      <w:r>
        <w:t xml:space="preserve"> </w:t>
      </w:r>
      <w:r>
        <w:rPr>
          <w:b/>
          <w:bCs/>
        </w:rPr>
        <w:t xml:space="preserve">record</w:t>
      </w:r>
      <w:r>
        <w:t xml:space="preserve"> </w:t>
      </w:r>
      <w:r>
        <w:t xml:space="preserve">Q1 report, TER fell ~19% in a single session (April 28 → 29), punished purely because the H2 outlook wasn't raised. Expect the same asymmetry: the guide/visibility commentary will drive the move far more than the headline beat.</w:t>
      </w:r>
    </w:p>
    <w:p>
      <w:pPr>
        <w:pStyle w:val="BodyText"/>
      </w:pPr>
      <w:r>
        <w:t xml:space="preserve">Also worth flagging: recent</w:t>
      </w:r>
      <w:r>
        <w:t xml:space="preserve"> </w:t>
      </w:r>
      <w:r>
        <w:rPr>
          <w:b/>
          <w:bCs/>
        </w:rPr>
        <w:t xml:space="preserve">planned insider sales</w:t>
      </w:r>
      <w:r>
        <w:t xml:space="preserve"> </w:t>
      </w:r>
      <w:r>
        <w:t xml:space="preserve">by the CEO and a director (mid-July, under pre-set 10b5-1 plans) — routine and modest (single-digit % of holdings), but part of the tape into the print.</w:t>
      </w:r>
    </w:p>
    <w:bookmarkEnd w:id="17"/>
    <w:bookmarkStart w:id="18" w:name="bottom-line--checklist-for-the-print"/>
    <w:p>
      <w:pPr>
        <w:pStyle w:val="Heading2"/>
      </w:pPr>
      <w:r>
        <w:t xml:space="preserve">Bottom line — checklist for the print</w:t>
      </w:r>
    </w:p>
    <w:p>
      <w:pPr>
        <w:pStyle w:val="Compact"/>
        <w:numPr>
          <w:ilvl w:val="0"/>
          <w:numId w:val="1003"/>
        </w:numPr>
      </w:pPr>
      <w:r>
        <w:rPr>
          <w:b/>
          <w:bCs/>
        </w:rPr>
        <w:t xml:space="preserve">H2 framing</w:t>
      </w:r>
      <w:r>
        <w:t xml:space="preserve"> </w:t>
      </w:r>
      <w:r>
        <w:t xml:space="preserve">— does the 55–60% first-half range tighten toward less back-half-light, and is FY tone raised or merely reaffirmed? (Most important.)</w:t>
      </w:r>
    </w:p>
    <w:p>
      <w:pPr>
        <w:pStyle w:val="Compact"/>
        <w:numPr>
          <w:ilvl w:val="0"/>
          <w:numId w:val="1003"/>
        </w:numPr>
      </w:pPr>
      <w:r>
        <w:rPr>
          <w:b/>
          <w:bCs/>
        </w:rPr>
        <w:t xml:space="preserve">Q4 visibility</w:t>
      </w:r>
      <w:r>
        <w:t xml:space="preserve"> </w:t>
      </w:r>
      <w:r>
        <w:t xml:space="preserve">— any improvement, or still a black box?</w:t>
      </w:r>
    </w:p>
    <w:p>
      <w:pPr>
        <w:pStyle w:val="Compact"/>
        <w:numPr>
          <w:ilvl w:val="0"/>
          <w:numId w:val="1003"/>
        </w:numPr>
      </w:pPr>
      <w:r>
        <w:rPr>
          <w:b/>
          <w:bCs/>
        </w:rPr>
        <w:t xml:space="preserve">Merchant GPU</w:t>
      </w:r>
      <w:r>
        <w:t xml:space="preserve"> </w:t>
      </w:r>
      <w:r>
        <w:t xml:space="preserve">— the ~$50M/year path holding or accelerating; fast-follower SKU conversions.</w:t>
      </w:r>
    </w:p>
    <w:p>
      <w:pPr>
        <w:pStyle w:val="Compact"/>
        <w:numPr>
          <w:ilvl w:val="0"/>
          <w:numId w:val="1003"/>
        </w:numPr>
      </w:pPr>
      <w:r>
        <w:rPr>
          <w:b/>
          <w:bCs/>
        </w:rPr>
        <w:t xml:space="preserve">Memory/HBM</w:t>
      </w:r>
      <w:r>
        <w:t xml:space="preserve"> </w:t>
      </w:r>
      <w:r>
        <w:t xml:space="preserve">— the key back-half accelerator; is it strengthening further?</w:t>
      </w:r>
    </w:p>
    <w:p>
      <w:pPr>
        <w:pStyle w:val="Compact"/>
        <w:numPr>
          <w:ilvl w:val="0"/>
          <w:numId w:val="1003"/>
        </w:numPr>
      </w:pPr>
      <w:r>
        <w:rPr>
          <w:b/>
          <w:bCs/>
        </w:rPr>
        <w:t xml:space="preserve">Networking/CPO</w:t>
      </w:r>
      <w:r>
        <w:t xml:space="preserve"> </w:t>
      </w:r>
      <w:r>
        <w:t xml:space="preserve">— order momentum and 2027 ramp signals.</w:t>
      </w:r>
    </w:p>
    <w:p>
      <w:pPr>
        <w:pStyle w:val="Compact"/>
        <w:numPr>
          <w:ilvl w:val="0"/>
          <w:numId w:val="1003"/>
        </w:numPr>
      </w:pPr>
      <w:r>
        <w:rPr>
          <w:b/>
          <w:bCs/>
        </w:rPr>
        <w:t xml:space="preserve">Gross margin</w:t>
      </w:r>
      <w:r>
        <w:t xml:space="preserve"> </w:t>
      </w:r>
      <w:r>
        <w:t xml:space="preserve">— staying in the 59–61% band as mix normalizes.</w:t>
      </w:r>
    </w:p>
    <w:p>
      <w:pPr>
        <w:pStyle w:val="Compact"/>
        <w:numPr>
          <w:ilvl w:val="0"/>
          <w:numId w:val="1003"/>
        </w:numPr>
      </w:pPr>
      <w:r>
        <w:rPr>
          <w:b/>
          <w:bCs/>
        </w:rPr>
        <w:t xml:space="preserve">Robotics</w:t>
      </w:r>
      <w:r>
        <w:t xml:space="preserve"> </w:t>
      </w:r>
      <w:r>
        <w:t xml:space="preserve">— fifth straight sequential gain?</w:t>
      </w:r>
    </w:p>
    <w:p>
      <w:pPr>
        <w:pStyle w:val="FirstParagraph"/>
      </w:pPr>
      <w:r>
        <w:t xml:space="preserve">Fundamentals are firing on all cylinders and the AI narrative is intact — but with the stock up multiples in a year, priced richly, and management's own message being "strong but lumpy, and we can't see Q4," the risk into this report is skewed to the downside on anything less than a confident second-half upgrade.</w:t>
      </w:r>
    </w:p>
    <w:p>
      <w:r>
        <w:pict>
          <v:rect style="width:0;height:1.5pt" o:hralign="center" o:hrstd="t" o:hr="t"/>
        </w:pict>
      </w:r>
    </w:p>
    <w:p>
      <w:pPr>
        <w:pStyle w:val="FirstParagraph"/>
      </w:pPr>
      <w:r>
        <w:rPr>
          <w:i/>
          <w:iCs/>
        </w:rPr>
        <w:t xml:space="preserve">Preview based on Teradyne's Q1 2026 results and earnings call (released April 28–29, 2026), guidance therein, market pricing through July 27, 2026, and pre-earnings consensus. Not investment advice.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2026-07-28T01:41:03Z</dcterms:created>
  <dcterms:modified xsi:type="dcterms:W3CDTF">2026-07-28T01:41:03Z</dcterms:modified>
</cp:coreProperties>
</file>

<file path=docProps/custom.xml><?xml version="1.0" encoding="utf-8"?>
<Properties xmlns="http://schemas.openxmlformats.org/officeDocument/2006/custom-properties" xmlns:vt="http://schemas.openxmlformats.org/officeDocument/2006/docPropsVTypes"/>
</file>