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er-earnings-predictions--2026-07-28"/>
    <w:p>
      <w:pPr>
        <w:pStyle w:val="Heading1"/>
      </w:pPr>
      <w:r>
        <w:t xml:space="preserve">TER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~$1.24B vs. cons $1.22B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~$2.13 vs. cons $2.05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gross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~58.8% vs. cons 58.5%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~$950M vs. cons $1.00B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non-GAAP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~$1.30 vs. cons $1.40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Gross margin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~58.0% vs. cons 58.5%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-10.5%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-13.0% (FOLLOW-THROUGH)</w:t>
            </w:r>
          </w:p>
        </w:tc>
        <w:tc>
          <w:tcPr/>
          <w:p>
            <w:pPr>
              <w:pStyle w:val="Compact"/>
            </w:pPr>
            <w:r>
              <w:t xml:space="preserve">A modest Q2 beat is outweighed by Q3 revenue and EPS guidance below consensus; the weaker out-period run rate implies FY2026 estimates fall versus the ~</w:t>
            </w:r>
            <m:oMath>
              <m:r>
                <m:t>4.53</m:t>
              </m:r>
              <m:r>
                <m:t>B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u</m:t>
              </m:r>
              <m:r>
                <m:t>e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</m:oMath>
            <w:r>
              <w:t xml:space="preserve">7.20 EPS consensus, driving continued negative revisions after day 1.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2026-07-28T01:42:24Z</dcterms:created>
  <dcterms:modified xsi:type="dcterms:W3CDTF">2026-07-28T01:42:24Z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