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teradyne-q2-2026-earnings-preview"/>
    <w:p>
      <w:pPr>
        <w:pStyle w:val="Heading1"/>
      </w:pPr>
      <w:r>
        <w:t xml:space="preserve">Teradyne Q2 2026 Earnings Preview</w:t>
      </w:r>
    </w:p>
    <w:p>
      <w:pPr>
        <w:pStyle w:val="BlockText"/>
      </w:pPr>
      <w:r>
        <w:rPr>
          <w:b/>
          <w:bCs/>
        </w:rPr>
        <w:t xml:space="preserve">Timing clarification:</w:t>
      </w:r>
      <w:r>
        <w:t xml:space="preserve"> </w:t>
      </w:r>
      <w:r>
        <w:t xml:space="preserve">Teradyne is scheduled to release Q2 results</w:t>
      </w:r>
      <w:r>
        <w:t xml:space="preserve"> </w:t>
      </w:r>
      <w:r>
        <w:rPr>
          <w:b/>
          <w:bCs/>
        </w:rPr>
        <w:t xml:space="preserve">today, Tuesday, July 28, at 4:30 p.m. ET or later</w:t>
      </w:r>
      <w:r>
        <w:t xml:space="preserve">. The earnings call is</w:t>
      </w:r>
      <w:r>
        <w:t xml:space="preserve"> </w:t>
      </w:r>
      <w:r>
        <w:rPr>
          <w:b/>
          <w:bCs/>
        </w:rPr>
        <w:t xml:space="preserve">tomorrow, Wednesday, July 29, at 8:30 a.m. ET</w:t>
      </w:r>
      <w:r>
        <w:t xml:space="preserve">. (</w:t>
      </w:r>
      <w:hyperlink r:id="rId9">
        <w:r>
          <w:rPr>
            <w:rStyle w:val="Hyperlink"/>
          </w:rPr>
          <w:t xml:space="preserve">investors.teradyne.com</w:t>
        </w:r>
      </w:hyperlink>
      <w:r>
        <w:t xml:space="preserve">)</w:t>
      </w:r>
    </w:p>
    <w:bookmarkStart w:id="10" w:name="investment-view-going-into-the-report"/>
    <w:p>
      <w:pPr>
        <w:pStyle w:val="Heading2"/>
      </w:pPr>
      <w:r>
        <w:t xml:space="preserve">Investment view going into the report</w:t>
      </w:r>
    </w:p>
    <w:p>
      <w:pPr>
        <w:pStyle w:val="FirstParagraph"/>
      </w:pPr>
      <w:r>
        <w:t xml:space="preserve">Teradyne enters Q2 with exceptionally strong AI-driven growth—but also a demanding valuation and a market focused less on the quarter being reported than on the expected second-half slowdown.</w:t>
      </w:r>
    </w:p>
    <w:p>
      <w:pPr>
        <w:pStyle w:val="BodyText"/>
      </w:pPr>
      <w:r>
        <w:t xml:space="preserve">A respectable beat against Q2 estimates may not be sufficient. The likely swing factors are:</w:t>
      </w:r>
    </w:p>
    <w:p>
      <w:pPr>
        <w:pStyle w:val="Compact"/>
        <w:numPr>
          <w:ilvl w:val="0"/>
          <w:numId w:val="1001"/>
        </w:numPr>
      </w:pPr>
      <w:r>
        <w:rPr>
          <w:b/>
          <w:bCs/>
        </w:rPr>
        <w:t xml:space="preserve">How sharply VIP compute revenue declines after the first-half surge.</w:t>
      </w:r>
    </w:p>
    <w:p>
      <w:pPr>
        <w:pStyle w:val="Compact"/>
        <w:numPr>
          <w:ilvl w:val="0"/>
          <w:numId w:val="1001"/>
        </w:numPr>
      </w:pPr>
      <w:r>
        <w:rPr>
          <w:b/>
          <w:bCs/>
        </w:rPr>
        <w:t xml:space="preserve">Whether networking, memory, merchant GPU and other businesses can fill that gap.</w:t>
      </w:r>
    </w:p>
    <w:p>
      <w:pPr>
        <w:pStyle w:val="Compact"/>
        <w:numPr>
          <w:ilvl w:val="0"/>
          <w:numId w:val="1001"/>
        </w:numPr>
      </w:pPr>
      <w:r>
        <w:rPr>
          <w:b/>
          <w:bCs/>
        </w:rPr>
        <w:t xml:space="preserve">Whether management’s improved demand signals translate into stronger second-half guidance.</w:t>
      </w:r>
    </w:p>
    <w:p>
      <w:pPr>
        <w:pStyle w:val="Compact"/>
        <w:numPr>
          <w:ilvl w:val="0"/>
          <w:numId w:val="1001"/>
        </w:numPr>
      </w:pPr>
      <w:r>
        <w:rPr>
          <w:b/>
          <w:bCs/>
        </w:rPr>
        <w:t xml:space="preserve">How much of Q1’s exceptional profitability persists after one-time benefits and favorable mix normalize.</w:t>
      </w:r>
    </w:p>
    <w:p>
      <w:pPr>
        <w:pStyle w:val="FirstParagraph"/>
      </w:pPr>
      <w:r>
        <w:t xml:space="preserve">That distinction matters because Teradyne already delivered a major Q1 beat, yet its shares fell roughly 19% the following session. Investors were unwilling to extrapolate peak first-half results without better visibility into the second half.</w:t>
      </w:r>
    </w:p>
    <w:p>
      <w:r>
        <w:pict>
          <v:rect style="width:0;height:1.5pt" o:hralign="center" o:hrstd="t" o:hr="t"/>
        </w:pic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Company Q2 guidance</w:t>
            </w:r>
          </w:p>
        </w:tc>
        <w:tc>
          <w:tcPr/>
          <w:p>
            <w:pPr>
              <w:pStyle w:val="Compact"/>
              <w:jc w:val="right"/>
            </w:pPr>
            <w:r>
              <w:t xml:space="preserve">Approximate consensus</w:t>
            </w:r>
          </w:p>
        </w:tc>
        <w:tc>
          <w:tcPr/>
          <w:p>
            <w:pPr>
              <w:pStyle w:val="Compact"/>
              <w:jc w:val="right"/>
            </w:pPr>
            <w:r>
              <w:t xml:space="preserve">Q1 2026 actual</w:t>
            </w:r>
          </w:p>
        </w:tc>
      </w:tr>
      <w:tr>
        <w:tc>
          <w:tcPr/>
          <w:p>
            <w:pPr>
              <w:pStyle w:val="Compact"/>
            </w:pPr>
            <w:r>
              <w:t xml:space="preserve">Revenue</w:t>
            </w:r>
          </w:p>
        </w:tc>
        <w:tc>
          <w:tcPr/>
          <w:p>
            <w:pPr>
              <w:pStyle w:val="Compact"/>
              <w:jc w:val="right"/>
            </w:pPr>
            <m:oMath>
              <m:r>
                <m:t>1.15</m:t>
              </m:r>
              <m:r>
                <m:t>B</m:t>
              </m:r>
              <m:r>
                <m:rPr>
                  <m:sty m:val="p"/>
                </m:rPr>
                <m:t>–</m:t>
              </m:r>
            </m:oMath>
            <w:r>
              <w:rPr>
                <w:b/>
                <w:bCs/>
              </w:rPr>
              <w:t xml:space="preserve">1.25B</w:t>
            </w:r>
          </w:p>
        </w:tc>
        <w:tc>
          <w:tcPr/>
          <w:p>
            <w:pPr>
              <w:pStyle w:val="Compact"/>
              <w:jc w:val="right"/>
            </w:pPr>
            <m:oMath>
              <m:r>
                <m:t>1.21</m:t>
              </m:r>
              <m:r>
                <m:t>B</m:t>
              </m:r>
              <m:r>
                <m:rPr>
                  <m:sty m:val="p"/>
                </m:rPr>
                <m:t>–</m:t>
              </m:r>
            </m:oMath>
            <w:r>
              <w:rPr>
                <w:b/>
                <w:bCs/>
              </w:rPr>
              <w:t xml:space="preserve">1.22B</w:t>
            </w:r>
          </w:p>
        </w:tc>
        <w:tc>
          <w:tcPr/>
          <w:p>
            <w:pPr>
              <w:pStyle w:val="Compact"/>
              <w:jc w:val="right"/>
            </w:pPr>
            <w:r>
              <w:t xml:space="preserve">$1.282B</w:t>
            </w:r>
          </w:p>
        </w:tc>
      </w:tr>
      <w:tr>
        <w:tc>
          <w:tcPr/>
          <w:p>
            <w:pPr>
              <w:pStyle w:val="Compact"/>
            </w:pPr>
            <w:r>
              <w:t xml:space="preserve">Non-GAAP EPS</w:t>
            </w:r>
          </w:p>
        </w:tc>
        <w:tc>
          <w:tcPr/>
          <w:p>
            <w:pPr>
              <w:pStyle w:val="Compact"/>
              <w:jc w:val="right"/>
            </w:pPr>
            <m:oMath>
              <m:r>
                <m:t>1.86</m:t>
              </m:r>
              <m:r>
                <m:rPr>
                  <m:sty m:val="p"/>
                </m:rPr>
                <m:t>–</m:t>
              </m:r>
            </m:oMath>
            <w:r>
              <w:rPr>
                <w:b/>
                <w:bCs/>
              </w:rPr>
              <w:t xml:space="preserve">2.15</w:t>
            </w:r>
          </w:p>
        </w:tc>
        <w:tc>
          <w:tcPr/>
          <w:p>
            <w:pPr>
              <w:pStyle w:val="Compact"/>
              <w:jc w:val="right"/>
            </w:pPr>
            <w:r>
              <w:rPr>
                <w:b/>
                <w:bCs/>
              </w:rPr>
              <w:t xml:space="preserve">~$2.05</w:t>
            </w:r>
          </w:p>
        </w:tc>
        <w:tc>
          <w:tcPr/>
          <w:p>
            <w:pPr>
              <w:pStyle w:val="Compact"/>
              <w:jc w:val="right"/>
            </w:pPr>
            <w:r>
              <w:t xml:space="preserve">$2.56</w:t>
            </w:r>
          </w:p>
        </w:tc>
      </w:tr>
      <w:tr>
        <w:tc>
          <w:tcPr/>
          <w:p>
            <w:pPr>
              <w:pStyle w:val="Compact"/>
            </w:pPr>
            <w:r>
              <w:t xml:space="preserve">Gross margin</w:t>
            </w:r>
          </w:p>
        </w:tc>
        <w:tc>
          <w:tcPr/>
          <w:p>
            <w:pPr>
              <w:pStyle w:val="Compact"/>
              <w:jc w:val="right"/>
            </w:pPr>
            <w:r>
              <w:rPr>
                <w:b/>
                <w:bCs/>
              </w:rPr>
              <w:t xml:space="preserve">58%–59%</w:t>
            </w:r>
          </w:p>
        </w:tc>
        <w:tc>
          <w:tcPr/>
          <w:p>
            <w:pPr>
              <w:pStyle w:val="Compact"/>
              <w:jc w:val="right"/>
            </w:pPr>
            <w:r>
              <w:t xml:space="preserve">Around the midpoint</w:t>
            </w:r>
          </w:p>
        </w:tc>
        <w:tc>
          <w:tcPr/>
          <w:p>
            <w:pPr>
              <w:pStyle w:val="Compact"/>
              <w:jc w:val="right"/>
            </w:pPr>
            <w:r>
              <w:t xml:space="preserve">60.9%</w:t>
            </w:r>
          </w:p>
        </w:tc>
      </w:tr>
      <w:tr>
        <w:tc>
          <w:tcPr/>
          <w:p>
            <w:pPr>
              <w:pStyle w:val="Compact"/>
            </w:pPr>
            <w:r>
              <w:t xml:space="preserve">Non-GAAP operating margin</w:t>
            </w:r>
          </w:p>
        </w:tc>
        <w:tc>
          <w:tcPr/>
          <w:p>
            <w:pPr>
              <w:pStyle w:val="Compact"/>
              <w:jc w:val="right"/>
            </w:pPr>
            <w:r>
              <w:rPr>
                <w:b/>
                <w:bCs/>
              </w:rPr>
              <w:t xml:space="preserve">30%–32%</w:t>
            </w:r>
          </w:p>
        </w:tc>
        <w:tc>
          <w:tcPr/>
          <w:p>
            <w:pPr>
              <w:pStyle w:val="Compact"/>
              <w:jc w:val="right"/>
            </w:pPr>
            <w:r>
              <w:t xml:space="preserve">—</w:t>
            </w:r>
          </w:p>
        </w:tc>
        <w:tc>
          <w:tcPr/>
          <w:p>
            <w:pPr>
              <w:pStyle w:val="Compact"/>
              <w:jc w:val="right"/>
            </w:pPr>
            <w:r>
              <w:t xml:space="preserve">37.5%</w:t>
            </w:r>
          </w:p>
        </w:tc>
      </w:tr>
    </w:tbl>
    <w:p>
      <w:pPr>
        <w:pStyle w:val="BodyText"/>
      </w:pPr>
      <w:r>
        <w:t xml:space="preserve">Consensus is essentially centered on management’s guidance rather than anticipating a major beat. At roughly $1.21 billion of revenue and $2.05 of EPS, Teradyne would deliver approximately</w:t>
      </w:r>
      <w:r>
        <w:t xml:space="preserve"> </w:t>
      </w:r>
      <w:r>
        <w:rPr>
          <w:b/>
          <w:bCs/>
        </w:rPr>
        <w:t xml:space="preserve">86% revenue growth</w:t>
      </w:r>
      <w:r>
        <w:t xml:space="preserve"> </w:t>
      </w:r>
      <w:r>
        <w:t xml:space="preserve">and</w:t>
      </w:r>
      <w:r>
        <w:t xml:space="preserve"> </w:t>
      </w:r>
      <w:r>
        <w:rPr>
          <w:b/>
          <w:bCs/>
        </w:rPr>
        <w:t xml:space="preserve">260% EPS growth</w:t>
      </w:r>
      <w:r>
        <w:t xml:space="preserve"> </w:t>
      </w:r>
      <w:r>
        <w:t xml:space="preserve">from Q2 2025. (</w:t>
      </w:r>
      <w:hyperlink r:id="rId11">
        <w:r>
          <w:rPr>
            <w:rStyle w:val="Hyperlink"/>
          </w:rPr>
          <w:t xml:space="preserve">investors.teradyne.com</w:t>
        </w:r>
      </w:hyperlink>
      <w:r>
        <w:t xml:space="preserve">)</w:t>
      </w:r>
    </w:p>
    <w:p>
      <w:pPr>
        <w:pStyle w:val="BodyText"/>
      </w:pPr>
      <w:r>
        <w:t xml:space="preserve">Q1 set an unusually high benchmark: revenue rose 87% to $1.282 billion, Semiconductor Test exceeded $1 billion for the first time, and roughly 70% of total revenue was AI-related. (</w:t>
      </w:r>
      <w:hyperlink r:id="rId11">
        <w:r>
          <w:rPr>
            <w:rStyle w:val="Hyperlink"/>
          </w:rPr>
          <w:t xml:space="preserve">investors.teradyne.com</w:t>
        </w:r>
      </w:hyperlink>
      <w:r>
        <w:t xml:space="preserve">)</w:t>
      </w:r>
    </w:p>
    <w:p>
      <w:r>
        <w:pict>
          <v:rect style="width:0;height:1.5pt" o:hralign="center" o:hrstd="t" o:hr="t"/>
        </w:pict>
      </w:r>
    </w:p>
    <w:bookmarkEnd w:id="12"/>
    <w:bookmarkStart w:id="14" w:name="X159a63280dd8cfd37824a51a31ce315ee26b5c4"/>
    <w:p>
      <w:pPr>
        <w:pStyle w:val="Heading2"/>
      </w:pPr>
      <w:r>
        <w:t xml:space="preserve">1. The real event is the Q3 outlook</w:t>
      </w:r>
    </w:p>
    <w:p>
      <w:pPr>
        <w:pStyle w:val="FirstParagraph"/>
      </w:pPr>
      <w:r>
        <w:t xml:space="preserve">Management previously forecast that</w:t>
      </w:r>
      <w:r>
        <w:t xml:space="preserve"> </w:t>
      </w:r>
      <w:r>
        <w:rPr>
          <w:b/>
          <w:bCs/>
        </w:rPr>
        <w:t xml:space="preserve">55%–60% of 2026 revenue would be generated in the first half</w:t>
      </w:r>
      <w:r>
        <w:t xml:space="preserve">, reflecting a very strong first-half ramp in VIP compute and limited visibility beyond current customer orders.</w:t>
      </w:r>
    </w:p>
    <w:p>
      <w:pPr>
        <w:pStyle w:val="BodyText"/>
      </w:pPr>
      <w:r>
        <w:t xml:space="preserve">Using the Q2 guidance midpoint:</w:t>
      </w:r>
    </w:p>
    <w:p>
      <w:pPr>
        <w:pStyle w:val="Compact"/>
        <w:numPr>
          <w:ilvl w:val="0"/>
          <w:numId w:val="1002"/>
        </w:numPr>
      </w:pPr>
      <w:r>
        <w:t xml:space="preserve">Q1 revenue:</w:t>
      </w:r>
      <w:r>
        <w:t xml:space="preserve"> </w:t>
      </w:r>
      <w:r>
        <w:rPr>
          <w:b/>
          <w:bCs/>
        </w:rPr>
        <w:t xml:space="preserve">$1.283B</w:t>
      </w:r>
    </w:p>
    <w:p>
      <w:pPr>
        <w:pStyle w:val="Compact"/>
        <w:numPr>
          <w:ilvl w:val="0"/>
          <w:numId w:val="1002"/>
        </w:numPr>
      </w:pPr>
      <w:r>
        <w:t xml:space="preserve">Q2 midpoint:</w:t>
      </w:r>
      <w:r>
        <w:t xml:space="preserve"> </w:t>
      </w:r>
      <w:r>
        <w:rPr>
          <w:b/>
          <w:bCs/>
        </w:rPr>
        <w:t xml:space="preserve">$1.200B</w:t>
      </w:r>
    </w:p>
    <w:p>
      <w:pPr>
        <w:pStyle w:val="Compact"/>
        <w:numPr>
          <w:ilvl w:val="0"/>
          <w:numId w:val="1002"/>
        </w:numPr>
      </w:pPr>
      <w:r>
        <w:t xml:space="preserve">Implied first-half revenue:</w:t>
      </w:r>
      <w:r>
        <w:t xml:space="preserve"> </w:t>
      </w:r>
      <w:r>
        <w:rPr>
          <w:b/>
          <w:bCs/>
        </w:rPr>
        <w:t xml:space="preserve">approximately $2.483B</w:t>
      </w:r>
    </w:p>
    <w:p>
      <w:pPr>
        <w:pStyle w:val="FirstParagraph"/>
      </w:pPr>
      <w:r>
        <w:t xml:space="preserve">If that represents 55%–60% of annual sales, it mathematically implies:</w:t>
      </w:r>
    </w:p>
    <w:p>
      <w:pPr>
        <w:pStyle w:val="Compact"/>
        <w:numPr>
          <w:ilvl w:val="0"/>
          <w:numId w:val="1003"/>
        </w:numPr>
      </w:pPr>
      <w:r>
        <w:t xml:space="preserve">Full-year revenue of approximately</w:t>
      </w:r>
      <w:r>
        <w:t xml:space="preserve"> </w:t>
      </w:r>
      <m:oMath>
        <m:r>
          <m:t>4.14</m:t>
        </m:r>
        <m:r>
          <m:t>B</m:t>
        </m:r>
        <m:r>
          <m:rPr>
            <m:sty m:val="p"/>
          </m:rPr>
          <m:t>–</m:t>
        </m:r>
      </m:oMath>
      <w:r>
        <w:rPr>
          <w:b/>
          <w:bCs/>
        </w:rPr>
        <w:t xml:space="preserve">4.51B</w:t>
      </w:r>
    </w:p>
    <w:p>
      <w:pPr>
        <w:pStyle w:val="Compact"/>
        <w:numPr>
          <w:ilvl w:val="0"/>
          <w:numId w:val="1003"/>
        </w:numPr>
      </w:pPr>
      <w:r>
        <w:t xml:space="preserve">Second-half revenue of approximately</w:t>
      </w:r>
      <w:r>
        <w:t xml:space="preserve"> </w:t>
      </w:r>
      <m:oMath>
        <m:r>
          <m:t>1.66</m:t>
        </m:r>
        <m:r>
          <m:t>B</m:t>
        </m:r>
        <m:r>
          <m:rPr>
            <m:sty m:val="p"/>
          </m:rPr>
          <m:t>–</m:t>
        </m:r>
      </m:oMath>
      <w:r>
        <w:rPr>
          <w:b/>
          <w:bCs/>
        </w:rPr>
        <w:t xml:space="preserve">2.03B</w:t>
      </w:r>
    </w:p>
    <w:p>
      <w:pPr>
        <w:pStyle w:val="Compact"/>
        <w:numPr>
          <w:ilvl w:val="0"/>
          <w:numId w:val="1003"/>
        </w:numPr>
      </w:pPr>
      <w:r>
        <w:t xml:space="preserve">Average quarterly H2 revenue of approximately</w:t>
      </w:r>
      <w:r>
        <w:t xml:space="preserve"> </w:t>
      </w:r>
      <m:oMath>
        <m:r>
          <m:t>830</m:t>
        </m:r>
        <m:r>
          <m:t>M</m:t>
        </m:r>
        <m:r>
          <m:rPr>
            <m:sty m:val="p"/>
          </m:rPr>
          <m:t>–</m:t>
        </m:r>
      </m:oMath>
      <w:r>
        <w:rPr>
          <w:b/>
          <w:bCs/>
        </w:rPr>
        <w:t xml:space="preserve">1.02B</w:t>
      </w:r>
    </w:p>
    <w:p>
      <w:pPr>
        <w:pStyle w:val="FirstParagraph"/>
      </w:pPr>
      <w:r>
        <w:t xml:space="preserve">That is a substantial decline from the first-half quarterly run rate.</w:t>
      </w:r>
    </w:p>
    <w:p>
      <w:pPr>
        <w:pStyle w:val="BodyText"/>
      </w:pPr>
      <w:r>
        <w:t xml:space="preserve">The crucial question is whether management now sees the year tracking closer to the</w:t>
      </w:r>
      <w:r>
        <w:t xml:space="preserve"> </w:t>
      </w:r>
      <w:r>
        <w:rPr>
          <w:b/>
          <w:bCs/>
        </w:rPr>
        <w:t xml:space="preserve">55% end</w:t>
      </w:r>
      <w:r>
        <w:t xml:space="preserve"> </w:t>
      </w:r>
      <w:r>
        <w:t xml:space="preserve">of its first-half weighting range—which would mean a stronger second half—or the</w:t>
      </w:r>
      <w:r>
        <w:t xml:space="preserve"> </w:t>
      </w:r>
      <w:r>
        <w:rPr>
          <w:b/>
          <w:bCs/>
        </w:rPr>
        <w:t xml:space="preserve">60% end</w:t>
      </w:r>
      <w:r>
        <w:t xml:space="preserve">, which would imply a much deeper digestion period.</w:t>
      </w:r>
    </w:p>
    <w:bookmarkStart w:id="13" w:name="what-investors-want-to-hear"/>
    <w:p>
      <w:pPr>
        <w:pStyle w:val="Heading3"/>
      </w:pPr>
      <w:r>
        <w:t xml:space="preserve">What investors want to hear</w:t>
      </w:r>
    </w:p>
    <w:p>
      <w:pPr>
        <w:pStyle w:val="FirstParagraph"/>
      </w:pPr>
      <w:r>
        <w:t xml:space="preserve">A constructive outlook would include:</w:t>
      </w:r>
    </w:p>
    <w:p>
      <w:pPr>
        <w:pStyle w:val="Compact"/>
        <w:numPr>
          <w:ilvl w:val="0"/>
          <w:numId w:val="1004"/>
        </w:numPr>
      </w:pPr>
      <w:r>
        <w:t xml:space="preserve">A shallower-than-feared Q3 decline.</w:t>
      </w:r>
    </w:p>
    <w:p>
      <w:pPr>
        <w:pStyle w:val="Compact"/>
        <w:numPr>
          <w:ilvl w:val="0"/>
          <w:numId w:val="1004"/>
        </w:numPr>
      </w:pPr>
      <w:r>
        <w:t xml:space="preserve">Networking remaining at a strong level.</w:t>
      </w:r>
    </w:p>
    <w:p>
      <w:pPr>
        <w:pStyle w:val="Compact"/>
        <w:numPr>
          <w:ilvl w:val="0"/>
          <w:numId w:val="1004"/>
        </w:numPr>
      </w:pPr>
      <w:r>
        <w:t xml:space="preserve">Memory becoming meaningfully second-half weighted.</w:t>
      </w:r>
    </w:p>
    <w:p>
      <w:pPr>
        <w:pStyle w:val="Compact"/>
        <w:numPr>
          <w:ilvl w:val="0"/>
          <w:numId w:val="1004"/>
        </w:numPr>
      </w:pPr>
      <w:r>
        <w:t xml:space="preserve">New compute programs beginning earlier than expected.</w:t>
      </w:r>
    </w:p>
    <w:p>
      <w:pPr>
        <w:pStyle w:val="Compact"/>
        <w:numPr>
          <w:ilvl w:val="0"/>
          <w:numId w:val="1004"/>
        </w:numPr>
      </w:pPr>
      <w:r>
        <w:t xml:space="preserve">Robotics, Product Test and IST collectively providing a larger offset.</w:t>
      </w:r>
    </w:p>
    <w:p>
      <w:pPr>
        <w:pStyle w:val="FirstParagraph"/>
      </w:pPr>
      <w:r>
        <w:t xml:space="preserve">A strong Q2 print paired with vague or conservative Q3 commentary could still be received poorly.</w:t>
      </w:r>
    </w:p>
    <w:p>
      <w:r>
        <w:pict>
          <v:rect style="width:0;height:1.5pt" o:hralign="center" o:hrstd="t" o:hr="t"/>
        </w:pict>
      </w:r>
    </w:p>
    <w:bookmarkEnd w:id="13"/>
    <w:bookmarkEnd w:id="14"/>
    <w:bookmarkStart w:id="17" w:name="Xb6741246d700db0f3789b4c78bfb82c9107dc35"/>
    <w:p>
      <w:pPr>
        <w:pStyle w:val="Heading2"/>
      </w:pPr>
      <w:r>
        <w:t xml:space="preserve">2. Can networking and memory offset the VIP-compute digestion?</w:t>
      </w:r>
    </w:p>
    <w:p>
      <w:pPr>
        <w:pStyle w:val="FirstParagraph"/>
      </w:pPr>
      <w:r>
        <w:t xml:space="preserve">Teradyne’s first-half strength has been led by a relatively small number of large AI compute programs. Management previously described VIP compute as the most heavily first-half-weighted portion of the business, with the next major technology wave more likely in early 2027, although some orders could arrive late in 2026.</w:t>
      </w:r>
    </w:p>
    <w:p>
      <w:pPr>
        <w:pStyle w:val="BodyText"/>
      </w:pPr>
      <w:r>
        <w:t xml:space="preserve">The offsetting businesses are therefore central to the thesis.</w:t>
      </w:r>
    </w:p>
    <w:bookmarkStart w:id="15" w:name="networking"/>
    <w:p>
      <w:pPr>
        <w:pStyle w:val="Heading3"/>
      </w:pPr>
      <w:r>
        <w:t xml:space="preserve">Networking</w:t>
      </w:r>
    </w:p>
    <w:p>
      <w:pPr>
        <w:pStyle w:val="FirstParagraph"/>
      </w:pPr>
      <w:r>
        <w:t xml:space="preserve">Management entered Q2 seeing strong networking demand but acknowledged that visibility into the second half was weaker than for current-quarter orders.</w:t>
      </w:r>
    </w:p>
    <w:p>
      <w:pPr>
        <w:pStyle w:val="BodyText"/>
      </w:pPr>
      <w:r>
        <w:t xml:space="preserve">Key questions include:</w:t>
      </w:r>
    </w:p>
    <w:p>
      <w:pPr>
        <w:pStyle w:val="Compact"/>
        <w:numPr>
          <w:ilvl w:val="0"/>
          <w:numId w:val="1005"/>
        </w:numPr>
      </w:pPr>
      <w:r>
        <w:t xml:space="preserve">Has networking demand continued to fill in?</w:t>
      </w:r>
    </w:p>
    <w:p>
      <w:pPr>
        <w:pStyle w:val="Compact"/>
        <w:numPr>
          <w:ilvl w:val="0"/>
          <w:numId w:val="1005"/>
        </w:numPr>
      </w:pPr>
      <w:r>
        <w:t xml:space="preserve">Are customers adding tester capacity beyond immediate lead times?</w:t>
      </w:r>
    </w:p>
    <w:p>
      <w:pPr>
        <w:pStyle w:val="Compact"/>
        <w:numPr>
          <w:ilvl w:val="0"/>
          <w:numId w:val="1005"/>
        </w:numPr>
      </w:pPr>
      <w:r>
        <w:t xml:space="preserve">Is demand broadening beyond a few large AI infrastructure programs?</w:t>
      </w:r>
    </w:p>
    <w:p>
      <w:pPr>
        <w:pStyle w:val="Compact"/>
        <w:numPr>
          <w:ilvl w:val="0"/>
          <w:numId w:val="1005"/>
        </w:numPr>
      </w:pPr>
      <w:r>
        <w:t xml:space="preserve">Are silicon-photonics and co-packaged-optics orders becoming material?</w:t>
      </w:r>
    </w:p>
    <w:p>
      <w:pPr>
        <w:pStyle w:val="FirstParagraph"/>
      </w:pPr>
      <w:r>
        <w:t xml:space="preserve">Teradyne estimates silicon-photonics test equipment could eventually represent a</w:t>
      </w:r>
      <w:r>
        <w:t xml:space="preserve"> </w:t>
      </w:r>
      <m:oMath>
        <m:r>
          <m:t>300</m:t>
        </m:r>
        <m:r>
          <m:t>m</m:t>
        </m:r>
        <m:r>
          <m:t>i</m:t>
        </m:r>
        <m:r>
          <m:t>l</m:t>
        </m:r>
        <m:r>
          <m:t>l</m:t>
        </m:r>
        <m:r>
          <m:t>i</m:t>
        </m:r>
        <m:r>
          <m:t>o</m:t>
        </m:r>
        <m:r>
          <m:t>n</m:t>
        </m:r>
        <m:r>
          <m:rPr>
            <m:sty m:val="p"/>
          </m:rPr>
          <m:t>–</m:t>
        </m:r>
      </m:oMath>
      <w:r>
        <w:rPr>
          <w:b/>
          <w:bCs/>
        </w:rPr>
        <w:t xml:space="preserve">700 million annual opportunity</w:t>
      </w:r>
      <w:r>
        <w:t xml:space="preserve">, but the near-term timing, test insertions and economics remain uncertain.</w:t>
      </w:r>
    </w:p>
    <w:bookmarkEnd w:id="15"/>
    <w:bookmarkStart w:id="16" w:name="memory"/>
    <w:p>
      <w:pPr>
        <w:pStyle w:val="Heading3"/>
      </w:pPr>
      <w:r>
        <w:t xml:space="preserve">Memory</w:t>
      </w:r>
    </w:p>
    <w:p>
      <w:pPr>
        <w:pStyle w:val="FirstParagraph"/>
      </w:pPr>
      <w:r>
        <w:t xml:space="preserve">Memory generated</w:t>
      </w:r>
      <w:r>
        <w:t xml:space="preserve"> </w:t>
      </w:r>
      <w:r>
        <w:rPr>
          <w:b/>
          <w:bCs/>
        </w:rPr>
        <w:t xml:space="preserve">$203 million</w:t>
      </w:r>
      <w:r>
        <w:t xml:space="preserve"> </w:t>
      </w:r>
      <w:r>
        <w:t xml:space="preserve">in Q1, supported by HBM and DRAM test demand. Management expected memory to be more second-half weighted than compute, with additional potential from flash and data-center SSDs.</w:t>
      </w:r>
    </w:p>
    <w:p>
      <w:pPr>
        <w:pStyle w:val="BodyText"/>
      </w:pPr>
      <w:r>
        <w:t xml:space="preserve">Investors should watch for:</w:t>
      </w:r>
    </w:p>
    <w:p>
      <w:pPr>
        <w:pStyle w:val="Compact"/>
        <w:numPr>
          <w:ilvl w:val="0"/>
          <w:numId w:val="1006"/>
        </w:numPr>
      </w:pPr>
      <w:r>
        <w:t xml:space="preserve">Continued HBM and DRAM test strength.</w:t>
      </w:r>
    </w:p>
    <w:p>
      <w:pPr>
        <w:pStyle w:val="Compact"/>
        <w:numPr>
          <w:ilvl w:val="0"/>
          <w:numId w:val="1006"/>
        </w:numPr>
      </w:pPr>
      <w:r>
        <w:t xml:space="preserve">Evidence that memory is offsetting the compute decline.</w:t>
      </w:r>
    </w:p>
    <w:p>
      <w:pPr>
        <w:pStyle w:val="Compact"/>
        <w:numPr>
          <w:ilvl w:val="0"/>
          <w:numId w:val="1006"/>
        </w:numPr>
      </w:pPr>
      <w:r>
        <w:t xml:space="preserve">Further Magnum 7 adoption.</w:t>
      </w:r>
    </w:p>
    <w:p>
      <w:pPr>
        <w:pStyle w:val="Compact"/>
        <w:numPr>
          <w:ilvl w:val="0"/>
          <w:numId w:val="1006"/>
        </w:numPr>
      </w:pPr>
      <w:r>
        <w:t xml:space="preserve">Share gains beyond the low-single-digit improvement previously anticipated.</w:t>
      </w:r>
    </w:p>
    <w:p>
      <w:pPr>
        <w:pStyle w:val="FirstParagraph"/>
      </w:pPr>
      <w:r>
        <w:t xml:space="preserve">A stronger memory outlook is probably the clearest path toward the favorable end of Teradyne’s full-year revenue range.</w:t>
      </w:r>
    </w:p>
    <w:p>
      <w:r>
        <w:pict>
          <v:rect style="width:0;height:1.5pt" o:hralign="center" o:hrstd="t" o:hr="t"/>
        </w:pict>
      </w:r>
    </w:p>
    <w:bookmarkEnd w:id="16"/>
    <w:bookmarkEnd w:id="17"/>
    <w:bookmarkStart w:id="18" w:name="Xe6a7136282ba8bdb16089a5edf3e66415b8cae9"/>
    <w:p>
      <w:pPr>
        <w:pStyle w:val="Heading2"/>
      </w:pPr>
      <w:r>
        <w:t xml:space="preserve">3. Merchant GPU: small today, strategically important</w:t>
      </w:r>
    </w:p>
    <w:p>
      <w:pPr>
        <w:pStyle w:val="FirstParagraph"/>
      </w:pPr>
      <w:r>
        <w:t xml:space="preserve">Q2 should include Teradyne’s first multisystem production shipments for a merchant GPU customer. Management previously said it had line of sight to approximately</w:t>
      </w:r>
      <w:r>
        <w:t xml:space="preserve"> </w:t>
      </w:r>
      <w:r>
        <w:rPr>
          <w:b/>
          <w:bCs/>
        </w:rPr>
        <w:t xml:space="preserve">$50 million of merchant-GPU revenue in 2026</w:t>
      </w:r>
      <w:r>
        <w:t xml:space="preserve">, with low-single-digit share initially.</w:t>
      </w:r>
    </w:p>
    <w:p>
      <w:pPr>
        <w:pStyle w:val="BodyText"/>
      </w:pPr>
      <w:r>
        <w:t xml:space="preserve">That contribution is modest relative to total company revenue, but the strategic implications are much larger. The initial qualification is the hardest step because Teradyne must qualify the platform and convert the supporting test libraries. Once completed, additional GPU SKUs can potentially migrate through a faster-following process.</w:t>
      </w:r>
    </w:p>
    <w:p>
      <w:pPr>
        <w:pStyle w:val="BodyText"/>
      </w:pPr>
      <w:r>
        <w:t xml:space="preserve">Investors should listen for:</w:t>
      </w:r>
    </w:p>
    <w:p>
      <w:pPr>
        <w:pStyle w:val="Compact"/>
        <w:numPr>
          <w:ilvl w:val="0"/>
          <w:numId w:val="1007"/>
        </w:numPr>
      </w:pPr>
      <w:r>
        <w:t xml:space="preserve">Whether the Q2 systems were installed and entered production on schedule.</w:t>
      </w:r>
    </w:p>
    <w:p>
      <w:pPr>
        <w:pStyle w:val="Compact"/>
        <w:numPr>
          <w:ilvl w:val="0"/>
          <w:numId w:val="1007"/>
        </w:numPr>
      </w:pPr>
      <w:r>
        <w:t xml:space="preserve">The number of additional GPU SKUs being converted.</w:t>
      </w:r>
    </w:p>
    <w:p>
      <w:pPr>
        <w:pStyle w:val="Compact"/>
        <w:numPr>
          <w:ilvl w:val="0"/>
          <w:numId w:val="1007"/>
        </w:numPr>
      </w:pPr>
      <w:r>
        <w:t xml:space="preserve">Whether follow-on capacity begins in late 2026 or primarily in 2027.</w:t>
      </w:r>
    </w:p>
    <w:p>
      <w:pPr>
        <w:pStyle w:val="Compact"/>
        <w:numPr>
          <w:ilvl w:val="0"/>
          <w:numId w:val="1007"/>
        </w:numPr>
      </w:pPr>
      <w:r>
        <w:t xml:space="preserve">Evidence that Teradyne can ultimately become a meaningful second source.</w:t>
      </w:r>
    </w:p>
    <w:p>
      <w:pPr>
        <w:pStyle w:val="Compact"/>
        <w:numPr>
          <w:ilvl w:val="0"/>
          <w:numId w:val="1007"/>
        </w:numPr>
      </w:pPr>
      <w:r>
        <w:t xml:space="preserve">Progress toward tester-agnostic software development.</w:t>
      </w:r>
    </w:p>
    <w:p>
      <w:pPr>
        <w:pStyle w:val="FirstParagraph"/>
      </w:pPr>
      <w:r>
        <w:t xml:space="preserve">Management believes only low-double-digit merchant-GPU share is needed to support its long-term target model. A faster ramp would therefore represent meaningful upside—but investors should distinguish design engagement from actual production capacity orders.</w:t>
      </w:r>
    </w:p>
    <w:p>
      <w:r>
        <w:pict>
          <v:rect style="width:0;height:1.5pt" o:hralign="center" o:hrstd="t" o:hr="t"/>
        </w:pict>
      </w:r>
    </w:p>
    <w:bookmarkEnd w:id="18"/>
    <w:bookmarkStart w:id="21" w:name="Xbbc6d3b67443a35a1fa90aeb4aaa5bd37892dd8"/>
    <w:p>
      <w:pPr>
        <w:pStyle w:val="Heading2"/>
      </w:pPr>
      <w:r>
        <w:t xml:space="preserve">4. Gross margin normalization should not be mistaken for deterioration</w:t>
      </w:r>
    </w:p>
    <w:p>
      <w:pPr>
        <w:pStyle w:val="FirstParagraph"/>
      </w:pPr>
      <w:r>
        <w:t xml:space="preserve">Q1 gross margin reached</w:t>
      </w:r>
      <w:r>
        <w:t xml:space="preserve"> </w:t>
      </w:r>
      <w:r>
        <w:rPr>
          <w:b/>
          <w:bCs/>
        </w:rPr>
        <w:t xml:space="preserve">60.9%</w:t>
      </w:r>
      <w:r>
        <w:t xml:space="preserve">, benefiting from:</w:t>
      </w:r>
    </w:p>
    <w:p>
      <w:pPr>
        <w:pStyle w:val="Compact"/>
        <w:numPr>
          <w:ilvl w:val="0"/>
          <w:numId w:val="1008"/>
        </w:numPr>
      </w:pPr>
      <w:r>
        <w:t xml:space="preserve">Exceptional Semiconductor Test volume.</w:t>
      </w:r>
    </w:p>
    <w:p>
      <w:pPr>
        <w:pStyle w:val="Compact"/>
        <w:numPr>
          <w:ilvl w:val="0"/>
          <w:numId w:val="1008"/>
        </w:numPr>
      </w:pPr>
      <w:r>
        <w:t xml:space="preserve">Favorable product mix.</w:t>
      </w:r>
    </w:p>
    <w:p>
      <w:pPr>
        <w:pStyle w:val="Compact"/>
        <w:numPr>
          <w:ilvl w:val="0"/>
          <w:numId w:val="1008"/>
        </w:numPr>
      </w:pPr>
      <w:r>
        <w:t xml:space="preserve">Nonrecurring operational benefits.</w:t>
      </w:r>
    </w:p>
    <w:p>
      <w:pPr>
        <w:pStyle w:val="FirstParagraph"/>
      </w:pPr>
      <w:r>
        <w:t xml:space="preserve">Management guided Q2 gross margin to</w:t>
      </w:r>
      <w:r>
        <w:t xml:space="preserve"> </w:t>
      </w:r>
      <w:r>
        <w:rPr>
          <w:b/>
          <w:bCs/>
        </w:rPr>
        <w:t xml:space="preserve">58%–59%</w:t>
      </w:r>
      <w:r>
        <w:t xml:space="preserve">, with approximately half the sequential decline from Q1 attributed to the absence of one-time benefits. The midpoint would still be consistent with Teradyne’s long-term target range.</w:t>
      </w:r>
    </w:p>
    <w:p>
      <w:pPr>
        <w:pStyle w:val="BodyText"/>
      </w:pPr>
      <w:r>
        <w:t xml:space="preserve">The quality of any Q2 earnings beat will matter:</w:t>
      </w:r>
    </w:p>
    <w:bookmarkStart w:id="19" w:name="higher-quality-beat"/>
    <w:p>
      <w:pPr>
        <w:pStyle w:val="Heading3"/>
      </w:pPr>
      <w:r>
        <w:t xml:space="preserve">Higher-quality beat</w:t>
      </w:r>
    </w:p>
    <w:p>
      <w:pPr>
        <w:pStyle w:val="Compact"/>
        <w:numPr>
          <w:ilvl w:val="0"/>
          <w:numId w:val="1009"/>
        </w:numPr>
      </w:pPr>
      <w:r>
        <w:t xml:space="preserve">Revenue exceeds the high end.</w:t>
      </w:r>
    </w:p>
    <w:p>
      <w:pPr>
        <w:pStyle w:val="Compact"/>
        <w:numPr>
          <w:ilvl w:val="0"/>
          <w:numId w:val="1009"/>
        </w:numPr>
      </w:pPr>
      <w:r>
        <w:t xml:space="preserve">Gross margin is at or above 59%.</w:t>
      </w:r>
    </w:p>
    <w:p>
      <w:pPr>
        <w:pStyle w:val="Compact"/>
        <w:numPr>
          <w:ilvl w:val="0"/>
          <w:numId w:val="1009"/>
        </w:numPr>
      </w:pPr>
      <w:r>
        <w:t xml:space="preserve">Operating expenses remain controlled.</w:t>
      </w:r>
    </w:p>
    <w:p>
      <w:pPr>
        <w:pStyle w:val="Compact"/>
        <w:numPr>
          <w:ilvl w:val="0"/>
          <w:numId w:val="1009"/>
        </w:numPr>
      </w:pPr>
      <w:r>
        <w:t xml:space="preserve">Upside reflects durable volume and mix.</w:t>
      </w:r>
    </w:p>
    <w:bookmarkEnd w:id="19"/>
    <w:bookmarkStart w:id="20" w:name="lower-quality-beat"/>
    <w:p>
      <w:pPr>
        <w:pStyle w:val="Heading3"/>
      </w:pPr>
      <w:r>
        <w:t xml:space="preserve">Lower-quality beat</w:t>
      </w:r>
    </w:p>
    <w:p>
      <w:pPr>
        <w:pStyle w:val="Compact"/>
        <w:numPr>
          <w:ilvl w:val="0"/>
          <w:numId w:val="1010"/>
        </w:numPr>
      </w:pPr>
      <w:r>
        <w:t xml:space="preserve">Revenue beats through accelerated customer acceptances or rush orders.</w:t>
      </w:r>
    </w:p>
    <w:p>
      <w:pPr>
        <w:pStyle w:val="Compact"/>
        <w:numPr>
          <w:ilvl w:val="0"/>
          <w:numId w:val="1010"/>
        </w:numPr>
      </w:pPr>
      <w:r>
        <w:t xml:space="preserve">Gross margin falls below guidance.</w:t>
      </w:r>
    </w:p>
    <w:p>
      <w:pPr>
        <w:pStyle w:val="Compact"/>
        <w:numPr>
          <w:ilvl w:val="0"/>
          <w:numId w:val="1010"/>
        </w:numPr>
      </w:pPr>
      <w:r>
        <w:t xml:space="preserve">Working capital rises sharply.</w:t>
      </w:r>
    </w:p>
    <w:p>
      <w:pPr>
        <w:pStyle w:val="Compact"/>
        <w:numPr>
          <w:ilvl w:val="0"/>
          <w:numId w:val="1010"/>
        </w:numPr>
      </w:pPr>
      <w:r>
        <w:t xml:space="preserve">Management describes orders as timing-related rather than incremental.</w:t>
      </w:r>
    </w:p>
    <w:p>
      <w:pPr>
        <w:pStyle w:val="FirstParagraph"/>
      </w:pPr>
      <w:r>
        <w:t xml:space="preserve">The operating-margin guide of 30%–32% is already very strong. The more important issue is whether margins remain structurally elevated when quarterly revenue falls below $1 billion.</w:t>
      </w:r>
    </w:p>
    <w:p>
      <w:r>
        <w:pict>
          <v:rect style="width:0;height:1.5pt" o:hralign="center" o:hrstd="t" o:hr="t"/>
        </w:pict>
      </w:r>
    </w:p>
    <w:bookmarkEnd w:id="20"/>
    <w:bookmarkEnd w:id="21"/>
    <w:bookmarkStart w:id="22" w:name="X55979acad5f247fc9babd44d6792f6ab0d0ef86"/>
    <w:p>
      <w:pPr>
        <w:pStyle w:val="Heading2"/>
      </w:pPr>
      <w:r>
        <w:t xml:space="preserve">5. Robotics needs to demonstrate that its recovery is durable</w:t>
      </w:r>
    </w:p>
    <w:p>
      <w:pPr>
        <w:pStyle w:val="FirstParagraph"/>
      </w:pPr>
      <w:r>
        <w:t xml:space="preserve">Robotics generated</w:t>
      </w:r>
      <w:r>
        <w:t xml:space="preserve"> </w:t>
      </w:r>
      <w:r>
        <w:rPr>
          <w:b/>
          <w:bCs/>
        </w:rPr>
        <w:t xml:space="preserve">$91 million</w:t>
      </w:r>
      <w:r>
        <w:t xml:space="preserve"> </w:t>
      </w:r>
      <w:r>
        <w:t xml:space="preserve">in Q1, up 32% year over year and marking a fourth consecutive quarter of sequential growth. The segment was close to breakeven following its 2025 restructuring, while AI-related applications reached approximately 15% of Robotics revenue.</w:t>
      </w:r>
    </w:p>
    <w:p>
      <w:pPr>
        <w:pStyle w:val="BodyText"/>
      </w:pPr>
      <w:r>
        <w:t xml:space="preserve">Q2 questions include:</w:t>
      </w:r>
    </w:p>
    <w:p>
      <w:pPr>
        <w:pStyle w:val="Compact"/>
        <w:numPr>
          <w:ilvl w:val="0"/>
          <w:numId w:val="1011"/>
        </w:numPr>
      </w:pPr>
      <w:r>
        <w:t xml:space="preserve">Did Robotics deliver a fifth consecutive quarter of growth?</w:t>
      </w:r>
    </w:p>
    <w:p>
      <w:pPr>
        <w:pStyle w:val="Compact"/>
        <w:numPr>
          <w:ilvl w:val="0"/>
          <w:numId w:val="1011"/>
        </w:numPr>
      </w:pPr>
      <w:r>
        <w:t xml:space="preserve">Is the large e-commerce customer continuing to ramp?</w:t>
      </w:r>
    </w:p>
    <w:p>
      <w:pPr>
        <w:pStyle w:val="Compact"/>
        <w:numPr>
          <w:ilvl w:val="0"/>
          <w:numId w:val="1011"/>
        </w:numPr>
      </w:pPr>
      <w:r>
        <w:t xml:space="preserve">Are semiconductor and data-center applications becoming repeatable deployments?</w:t>
      </w:r>
    </w:p>
    <w:p>
      <w:pPr>
        <w:pStyle w:val="Compact"/>
        <w:numPr>
          <w:ilvl w:val="0"/>
          <w:numId w:val="1011"/>
        </w:numPr>
      </w:pPr>
      <w:r>
        <w:t xml:space="preserve">Has the autonomous-mobile-robot business stabilized?</w:t>
      </w:r>
    </w:p>
    <w:p>
      <w:pPr>
        <w:pStyle w:val="Compact"/>
        <w:numPr>
          <w:ilvl w:val="0"/>
          <w:numId w:val="1011"/>
        </w:numPr>
      </w:pPr>
      <w:r>
        <w:t xml:space="preserve">Can Robotics achieve sustained profitability?</w:t>
      </w:r>
    </w:p>
    <w:p>
      <w:pPr>
        <w:pStyle w:val="FirstParagraph"/>
      </w:pPr>
      <w:r>
        <w:t xml:space="preserve">Robotics is no longer the main driver of Teradyne’s valuation, but improved profitability would make it a useful second-half offset and reduce the drag on consolidated margins.</w:t>
      </w:r>
    </w:p>
    <w:p>
      <w:r>
        <w:pict>
          <v:rect style="width:0;height:1.5pt" o:hralign="center" o:hrstd="t" o:hr="t"/>
        </w:pict>
      </w:r>
    </w:p>
    <w:bookmarkEnd w:id="22"/>
    <w:bookmarkStart w:id="23" w:name="Xeeff64c64b4c393447e7d54cfaae1e8a43357ac"/>
    <w:p>
      <w:pPr>
        <w:pStyle w:val="Heading2"/>
      </w:pPr>
      <w:r>
        <w:t xml:space="preserve">6. Product Test and new investments</w:t>
      </w:r>
    </w:p>
    <w:p>
      <w:pPr>
        <w:pStyle w:val="FirstParagraph"/>
      </w:pPr>
      <w:r>
        <w:t xml:space="preserve">Product Test reported $80 million of Q1 revenue, supported by defense, aerospace and board test.</w:t>
      </w:r>
    </w:p>
    <w:p>
      <w:pPr>
        <w:pStyle w:val="BodyText"/>
      </w:pPr>
      <w:r>
        <w:t xml:space="preserve">Q2 will begin to reflect two strategic transactions:</w:t>
      </w:r>
    </w:p>
    <w:p>
      <w:pPr>
        <w:pStyle w:val="Compact"/>
        <w:numPr>
          <w:ilvl w:val="0"/>
          <w:numId w:val="1012"/>
        </w:numPr>
      </w:pPr>
      <w:r>
        <w:t xml:space="preserve">Teradyne’s 75%-owned</w:t>
      </w:r>
      <w:r>
        <w:t xml:space="preserve"> </w:t>
      </w:r>
      <w:r>
        <w:rPr>
          <w:b/>
          <w:bCs/>
        </w:rPr>
        <w:t xml:space="preserve">MultiLane Test Products</w:t>
      </w:r>
      <w:r>
        <w:t xml:space="preserve"> </w:t>
      </w:r>
      <w:r>
        <w:t xml:space="preserve">joint venture, focused on high-speed data-center interconnect testing.</w:t>
      </w:r>
    </w:p>
    <w:p>
      <w:pPr>
        <w:pStyle w:val="Compact"/>
        <w:numPr>
          <w:ilvl w:val="0"/>
          <w:numId w:val="1012"/>
        </w:numPr>
      </w:pPr>
      <w:r>
        <w:t xml:space="preserve">The acquisition of</w:t>
      </w:r>
      <w:r>
        <w:t xml:space="preserve"> </w:t>
      </w:r>
      <w:r>
        <w:rPr>
          <w:b/>
          <w:bCs/>
        </w:rPr>
        <w:t xml:space="preserve">TestInsight</w:t>
      </w:r>
      <w:r>
        <w:t xml:space="preserve">, which adds semiconductor-test development and conversion software.</w:t>
      </w:r>
    </w:p>
    <w:p>
      <w:pPr>
        <w:pStyle w:val="FirstParagraph"/>
      </w:pPr>
      <w:r>
        <w:t xml:space="preserve">Together, the transactions required approximately $167 million of cash and were funded using Teradyne’s revolving credit facility. Investors should look for early revenue contributions, integration costs and any change to the expected earnings impact.</w:t>
      </w:r>
    </w:p>
    <w:p>
      <w:pPr>
        <w:pStyle w:val="BodyText"/>
      </w:pPr>
      <w:r>
        <w:t xml:space="preserve">Other product milestones worth monitoring include:</w:t>
      </w:r>
    </w:p>
    <w:p>
      <w:pPr>
        <w:pStyle w:val="Compact"/>
        <w:numPr>
          <w:ilvl w:val="0"/>
          <w:numId w:val="1013"/>
        </w:numPr>
      </w:pPr>
      <w:r>
        <w:t xml:space="preserve">Photon100 adoption in silicon photonics.</w:t>
      </w:r>
    </w:p>
    <w:p>
      <w:pPr>
        <w:pStyle w:val="Compact"/>
        <w:numPr>
          <w:ilvl w:val="0"/>
          <w:numId w:val="1013"/>
        </w:numPr>
      </w:pPr>
      <w:r>
        <w:t xml:space="preserve">Omnyx traction in AI server-board and tray testing.</w:t>
      </w:r>
    </w:p>
    <w:p>
      <w:pPr>
        <w:pStyle w:val="Compact"/>
        <w:numPr>
          <w:ilvl w:val="0"/>
          <w:numId w:val="1013"/>
        </w:numPr>
      </w:pPr>
      <w:r>
        <w:t xml:space="preserve">Integrated test solutions spanning wafer, package, board and data-center systems.</w:t>
      </w:r>
    </w:p>
    <w:p>
      <w:pPr>
        <w:pStyle w:val="FirstParagraph"/>
      </w:pPr>
      <w:r>
        <w:t xml:space="preserve">These initiatives are unlikely to determine Q2 results, but they matter to the credibility of Teradyne’s longer-term “wafer to AI data center” strategy.</w:t>
      </w:r>
    </w:p>
    <w:p>
      <w:r>
        <w:pict>
          <v:rect style="width:0;height:1.5pt" o:hralign="center" o:hrstd="t" o:hr="t"/>
        </w:pict>
      </w:r>
    </w:p>
    <w:bookmarkEnd w:id="23"/>
    <w:bookmarkStart w:id="25" w:name="X11e7954a1322d8e97e2c10a0c7509b20483850a"/>
    <w:p>
      <w:pPr>
        <w:pStyle w:val="Heading2"/>
      </w:pPr>
      <w:r>
        <w:t xml:space="preserve">7. Customer concentration amplifies both upside and downside</w:t>
      </w:r>
    </w:p>
    <w:p>
      <w:pPr>
        <w:pStyle w:val="FirstParagraph"/>
      </w:pPr>
      <w:r>
        <w:t xml:space="preserve">Teradyne’s growth is increasingly tied to a limited number of hyperscalers, merchant compute companies, foundries, memory suppliers and associated manufacturing partners.</w:t>
      </w:r>
    </w:p>
    <w:p>
      <w:pPr>
        <w:pStyle w:val="BodyText"/>
      </w:pPr>
      <w:r>
        <w:t xml:space="preserve">In 2025:</w:t>
      </w:r>
    </w:p>
    <w:p>
      <w:pPr>
        <w:pStyle w:val="Compact"/>
        <w:numPr>
          <w:ilvl w:val="0"/>
          <w:numId w:val="1014"/>
        </w:numPr>
      </w:pPr>
      <w:r>
        <w:t xml:space="preserve">The five largest direct customers represented</w:t>
      </w:r>
      <w:r>
        <w:t xml:space="preserve"> </w:t>
      </w:r>
      <w:r>
        <w:rPr>
          <w:b/>
          <w:bCs/>
        </w:rPr>
        <w:t xml:space="preserve">44% of revenue</w:t>
      </w:r>
      <w:r>
        <w:t xml:space="preserve">.</w:t>
      </w:r>
    </w:p>
    <w:p>
      <w:pPr>
        <w:pStyle w:val="Compact"/>
        <w:numPr>
          <w:ilvl w:val="0"/>
          <w:numId w:val="1014"/>
        </w:numPr>
      </w:pPr>
      <w:r>
        <w:t xml:space="preserve">Two specifying customers each represented more than 10%.</w:t>
      </w:r>
    </w:p>
    <w:p>
      <w:pPr>
        <w:pStyle w:val="Compact"/>
        <w:numPr>
          <w:ilvl w:val="0"/>
          <w:numId w:val="1014"/>
        </w:numPr>
      </w:pPr>
      <w:r>
        <w:t xml:space="preserve">One direct purchasing customer represented 19%.</w:t>
      </w:r>
    </w:p>
    <w:p>
      <w:pPr>
        <w:pStyle w:val="FirstParagraph"/>
      </w:pPr>
      <w:r>
        <w:t xml:space="preserve">Teradyne continued to report two greater-than-10% specifying customers and one greater-than-10% purchasing customer in Q1. (</w:t>
      </w:r>
      <w:hyperlink r:id="rId24">
        <w:r>
          <w:rPr>
            <w:rStyle w:val="Hyperlink"/>
          </w:rPr>
          <w:t xml:space="preserve">investors.teradyne.com</w:t>
        </w:r>
      </w:hyperlink>
      <w:r>
        <w:t xml:space="preserve">)</w:t>
      </w:r>
    </w:p>
    <w:p>
      <w:pPr>
        <w:pStyle w:val="BodyText"/>
      </w:pPr>
      <w:r>
        <w:t xml:space="preserve">This concentration can produce extraordinary operating leverage when multiple programs ramp simultaneously—as seen in Q1—but also creates significant quarterly volatility. Delays in first silicon, packaging, wafer supply, customer acceptances or other parts of an AI test cell can move tester revenue between quarters even when long-term demand is intact.</w:t>
      </w:r>
    </w:p>
    <w:p>
      <w:pPr>
        <w:pStyle w:val="BodyText"/>
      </w:pPr>
      <w:r>
        <w:t xml:space="preserve">A key distinction on the call will be whether any second-half weakness represents:</w:t>
      </w:r>
    </w:p>
    <w:p>
      <w:pPr>
        <w:pStyle w:val="Compact"/>
        <w:numPr>
          <w:ilvl w:val="0"/>
          <w:numId w:val="1015"/>
        </w:numPr>
      </w:pPr>
      <w:r>
        <w:rPr>
          <w:b/>
          <w:bCs/>
        </w:rPr>
        <w:t xml:space="preserve">Normal timing and program lumpiness</w:t>
      </w:r>
      <w:r>
        <w:t xml:space="preserve">, or</w:t>
      </w:r>
    </w:p>
    <w:p>
      <w:pPr>
        <w:pStyle w:val="Compact"/>
        <w:numPr>
          <w:ilvl w:val="0"/>
          <w:numId w:val="1015"/>
        </w:numPr>
      </w:pPr>
      <w:r>
        <w:rPr>
          <w:b/>
          <w:bCs/>
        </w:rPr>
        <w:t xml:space="preserve">Lower underlying capacity requirements.</w:t>
      </w:r>
    </w:p>
    <w:p>
      <w:r>
        <w:pict>
          <v:rect style="width:0;height:1.5pt" o:hralign="center" o:hrstd="t" o:hr="t"/>
        </w:pict>
      </w:r>
    </w:p>
    <w:bookmarkEnd w:id="25"/>
    <w:bookmarkStart w:id="27" w:name="Xf9a8f2b9ef4e13f2317d932e3eba7be70d64ce3"/>
    <w:p>
      <w:pPr>
        <w:pStyle w:val="Heading2"/>
      </w:pPr>
      <w:r>
        <w:t xml:space="preserve">Stock setup: a high bar despite the pullback</w:t>
      </w:r>
    </w:p>
    <w:p>
      <w:pPr>
        <w:pStyle w:val="FirstParagraph"/>
      </w:pPr>
      <w:r>
        <w:t xml:space="preserve">At approximately</w:t>
      </w:r>
      <w:r>
        <w:t xml:space="preserve"> </w:t>
      </w:r>
      <m:oMath>
        <m:r>
          <m:t>335</m:t>
        </m:r>
        <m:r>
          <m:rPr>
            <m:sty m:val="p"/>
          </m:rPr>
          <m:t>*</m:t>
        </m:r>
        <m:r>
          <m:rPr>
            <m:sty m:val="p"/>
          </m:rPr>
          <m:t>*</m:t>
        </m:r>
        <m:r>
          <m:rPr>
            <m:sty m:val="p"/>
          </m:rPr>
          <m:t>,</m:t>
        </m:r>
        <m:r>
          <m:t>T</m:t>
        </m:r>
        <m:r>
          <m:t>e</m:t>
        </m:r>
        <m:r>
          <m:t>r</m:t>
        </m:r>
        <m:r>
          <m:t>a</m:t>
        </m:r>
        <m:r>
          <m:t>d</m:t>
        </m:r>
        <m:r>
          <m:t>y</m:t>
        </m:r>
        <m:r>
          <m:t>n</m:t>
        </m:r>
        <m:r>
          <m:t>e</m:t>
        </m:r>
        <m:r>
          <m:t>h</m:t>
        </m:r>
        <m:r>
          <m:t>a</m:t>
        </m:r>
        <m:r>
          <m:t>s</m:t>
        </m:r>
        <m:r>
          <m:t>a</m:t>
        </m:r>
        <m:r>
          <m:t>m</m:t>
        </m:r>
        <m:r>
          <m:t>a</m:t>
        </m:r>
        <m:r>
          <m:t>r</m:t>
        </m:r>
        <m:r>
          <m:t>k</m:t>
        </m:r>
        <m:r>
          <m:t>e</m:t>
        </m:r>
        <m:r>
          <m:t>t</m:t>
        </m:r>
        <m:r>
          <m:t>c</m:t>
        </m:r>
        <m:r>
          <m:t>a</m:t>
        </m:r>
        <m:r>
          <m:t>p</m:t>
        </m:r>
        <m:r>
          <m:t>i</m:t>
        </m:r>
        <m:r>
          <m:t>t</m:t>
        </m:r>
        <m:r>
          <m:t>a</m:t>
        </m:r>
        <m:r>
          <m:t>l</m:t>
        </m:r>
        <m:r>
          <m:t>i</m:t>
        </m:r>
        <m:r>
          <m:t>z</m:t>
        </m:r>
        <m:r>
          <m:t>a</m:t>
        </m:r>
        <m:r>
          <m:t>t</m:t>
        </m:r>
        <m:r>
          <m:t>i</m:t>
        </m:r>
        <m:r>
          <m:t>o</m:t>
        </m:r>
        <m:r>
          <m:t>n</m:t>
        </m:r>
        <m:r>
          <m:t>n</m:t>
        </m:r>
        <m:r>
          <m:t>e</m:t>
        </m:r>
        <m:r>
          <m:t>a</m:t>
        </m:r>
        <m:r>
          <m:t>r</m:t>
        </m:r>
        <m:r>
          <m:rPr>
            <m:sty m:val="p"/>
          </m:rPr>
          <m:t>*</m:t>
        </m:r>
        <m:r>
          <m:rPr>
            <m:sty m:val="p"/>
          </m:rPr>
          <m:t>*</m:t>
        </m:r>
      </m:oMath>
      <w:r>
        <w:rPr>
          <w:b/>
          <w:bCs/>
        </w:rPr>
        <w:t xml:space="preserve">53 billion</w:t>
      </w:r>
      <w:r>
        <w:t xml:space="preserve"> </w:t>
      </w:r>
      <w:r>
        <w:t xml:space="preserve">and trades at roughly</w:t>
      </w:r>
      <w:r>
        <w:t xml:space="preserve"> </w:t>
      </w:r>
      <w:r>
        <w:rPr>
          <w:b/>
          <w:bCs/>
        </w:rPr>
        <w:t xml:space="preserve">62 times trailing earnings</w:t>
      </w:r>
      <w:r>
        <w:t xml:space="preserve">.</w:t>
      </w:r>
    </w:p>
    <w:p>
      <w:pPr>
        <w:pStyle w:val="BodyText"/>
      </w:pPr>
      <w:r>
        <w:t xml:space="preserve">The shares remain sharply higher in 2026, although they have fallen substantially from their late-June peak. The stock is therefore in an unusual setup:</w:t>
      </w:r>
    </w:p>
    <w:p>
      <w:pPr>
        <w:pStyle w:val="Compact"/>
        <w:numPr>
          <w:ilvl w:val="0"/>
          <w:numId w:val="1016"/>
        </w:numPr>
      </w:pPr>
      <w:r>
        <w:t xml:space="preserve">The pullback has reduced expectations from their most extreme level.</w:t>
      </w:r>
    </w:p>
    <w:p>
      <w:pPr>
        <w:pStyle w:val="Compact"/>
        <w:numPr>
          <w:ilvl w:val="0"/>
          <w:numId w:val="1016"/>
        </w:numPr>
      </w:pPr>
      <w:r>
        <w:t xml:space="preserve">But the valuation still assumes strong multiyear AI-test growth and meaningful share gains.</w:t>
      </w:r>
    </w:p>
    <w:p>
      <w:pPr>
        <w:pStyle w:val="Compact"/>
        <w:numPr>
          <w:ilvl w:val="0"/>
          <w:numId w:val="1016"/>
        </w:numPr>
      </w:pPr>
      <w:r>
        <w:t xml:space="preserve">Investors are unlikely to reward results that merely match Q2 guidance.</w:t>
      </w:r>
    </w:p>
    <w:p>
      <w:pPr>
        <w:pStyle w:val="Compact"/>
        <w:numPr>
          <w:ilvl w:val="0"/>
          <w:numId w:val="1016"/>
        </w:numPr>
      </w:pPr>
      <w:r>
        <w:t xml:space="preserve">Weak second-half visibility could outweigh another headline beat.</w:t>
      </w:r>
    </w:p>
    <w:p>
      <w:pPr>
        <w:pStyle w:val="FirstParagraph"/>
      </w:pPr>
      <w:r>
        <w:t xml:space="preserve">Teradyne’s</w:t>
      </w:r>
      <w:r>
        <w:t xml:space="preserve"> </w:t>
      </w:r>
      <w:r>
        <w:rPr>
          <w:b/>
          <w:bCs/>
        </w:rPr>
        <w:t xml:space="preserve">$6 billion revenue and</w:t>
      </w:r>
      <w:r>
        <w:rPr>
          <w:b/>
          <w:bCs/>
        </w:rPr>
        <w:t xml:space="preserve"> </w:t>
      </w:r>
      <m:oMath>
        <m:r>
          <m:t>9.50</m:t>
        </m:r>
        <m:r>
          <m:rPr>
            <m:sty m:val="p"/>
          </m:rPr>
          <m:t>–</m:t>
        </m:r>
      </m:oMath>
      <w:r>
        <w:rPr>
          <w:b/>
          <w:bCs/>
        </w:rPr>
        <w:t xml:space="preserve">11 non-GAAP EPS target model</w:t>
      </w:r>
      <w:r>
        <w:t xml:space="preserve"> </w:t>
      </w:r>
      <w:r>
        <w:t xml:space="preserve">should not be confused with formal 2026 guidance. It is a longer-term earnings framework based on a larger automated-test-equipment market and successful execution across compute, memory, networking and related opportunities. (</w:t>
      </w:r>
      <w:hyperlink r:id="rId26">
        <w:r>
          <w:rPr>
            <w:rStyle w:val="Hyperlink"/>
          </w:rPr>
          <w:t xml:space="preserve">investors.teradyne.com</w:t>
        </w:r>
      </w:hyperlink>
      <w:r>
        <w:t xml:space="preserve">)</w:t>
      </w:r>
    </w:p>
    <w:p>
      <w:r>
        <w:pict>
          <v:rect style="width:0;height:1.5pt" o:hralign="center" o:hrstd="t" o:hr="t"/>
        </w:pict>
      </w:r>
    </w:p>
    <w:bookmarkEnd w:id="27"/>
    <w:bookmarkStart w:id="31" w:name="scenario-framework"/>
    <w:p>
      <w:pPr>
        <w:pStyle w:val="Heading2"/>
      </w:pPr>
      <w:r>
        <w:t xml:space="preserve">Scenario framework</w:t>
      </w:r>
    </w:p>
    <w:bookmarkStart w:id="28" w:name="bullish-outcome"/>
    <w:p>
      <w:pPr>
        <w:pStyle w:val="Heading3"/>
      </w:pPr>
      <w:r>
        <w:t xml:space="preserve">Bullish outcome</w:t>
      </w:r>
    </w:p>
    <w:p>
      <w:pPr>
        <w:pStyle w:val="Compact"/>
        <w:numPr>
          <w:ilvl w:val="0"/>
          <w:numId w:val="1017"/>
        </w:numPr>
      </w:pPr>
      <w:r>
        <w:t xml:space="preserve">Revenue and EPS exceed the top of guidance.</w:t>
      </w:r>
    </w:p>
    <w:p>
      <w:pPr>
        <w:pStyle w:val="Compact"/>
        <w:numPr>
          <w:ilvl w:val="0"/>
          <w:numId w:val="1017"/>
        </w:numPr>
      </w:pPr>
      <w:r>
        <w:t xml:space="preserve">Gross margin is at least 59%.</w:t>
      </w:r>
    </w:p>
    <w:p>
      <w:pPr>
        <w:pStyle w:val="Compact"/>
        <w:numPr>
          <w:ilvl w:val="0"/>
          <w:numId w:val="1017"/>
        </w:numPr>
      </w:pPr>
      <w:r>
        <w:t xml:space="preserve">Q3 guidance indicates a relatively shallow sequential decline.</w:t>
      </w:r>
    </w:p>
    <w:p>
      <w:pPr>
        <w:pStyle w:val="Compact"/>
        <w:numPr>
          <w:ilvl w:val="0"/>
          <w:numId w:val="1017"/>
        </w:numPr>
      </w:pPr>
      <w:r>
        <w:t xml:space="preserve">Memory and networking offset more VIP-compute digestion than expected.</w:t>
      </w:r>
    </w:p>
    <w:p>
      <w:pPr>
        <w:pStyle w:val="Compact"/>
        <w:numPr>
          <w:ilvl w:val="0"/>
          <w:numId w:val="1017"/>
        </w:numPr>
      </w:pPr>
      <w:r>
        <w:t xml:space="preserve">Merchant-GPU production is on schedule, with expanding SKU engagement.</w:t>
      </w:r>
    </w:p>
    <w:p>
      <w:pPr>
        <w:pStyle w:val="Compact"/>
        <w:numPr>
          <w:ilvl w:val="0"/>
          <w:numId w:val="1017"/>
        </w:numPr>
      </w:pPr>
      <w:r>
        <w:t xml:space="preserve">Management shifts toward the 55% end of the first-half weighting range.</w:t>
      </w:r>
    </w:p>
    <w:p>
      <w:pPr>
        <w:pStyle w:val="FirstParagraph"/>
      </w:pPr>
      <w:r>
        <w:rPr>
          <w:b/>
          <w:bCs/>
        </w:rPr>
        <w:t xml:space="preserve">Interpretation:</w:t>
      </w:r>
      <w:r>
        <w:t xml:space="preserve"> </w:t>
      </w:r>
      <w:r>
        <w:t xml:space="preserve">The AI test cycle is broadening rather than peaking, increasing confidence that Teradyne can approach its target model earlier than expected.</w:t>
      </w:r>
    </w:p>
    <w:bookmarkEnd w:id="28"/>
    <w:bookmarkStart w:id="29" w:name="base-case-outcome"/>
    <w:p>
      <w:pPr>
        <w:pStyle w:val="Heading3"/>
      </w:pPr>
      <w:r>
        <w:t xml:space="preserve">Base-case outcome</w:t>
      </w:r>
    </w:p>
    <w:p>
      <w:pPr>
        <w:pStyle w:val="Compact"/>
        <w:numPr>
          <w:ilvl w:val="0"/>
          <w:numId w:val="1018"/>
        </w:numPr>
      </w:pPr>
      <w:r>
        <w:t xml:space="preserve">Q2 lands near $1.2 billion and $2.05 EPS.</w:t>
      </w:r>
    </w:p>
    <w:p>
      <w:pPr>
        <w:pStyle w:val="Compact"/>
        <w:numPr>
          <w:ilvl w:val="0"/>
          <w:numId w:val="1018"/>
        </w:numPr>
      </w:pPr>
      <w:r>
        <w:t xml:space="preserve">Gross margin is around 58.5%.</w:t>
      </w:r>
    </w:p>
    <w:p>
      <w:pPr>
        <w:pStyle w:val="Compact"/>
        <w:numPr>
          <w:ilvl w:val="0"/>
          <w:numId w:val="1018"/>
        </w:numPr>
      </w:pPr>
      <w:r>
        <w:t xml:space="preserve">Q3 declines meaningfully as expected.</w:t>
      </w:r>
    </w:p>
    <w:p>
      <w:pPr>
        <w:pStyle w:val="Compact"/>
        <w:numPr>
          <w:ilvl w:val="0"/>
          <w:numId w:val="1018"/>
        </w:numPr>
      </w:pPr>
      <w:r>
        <w:t xml:space="preserve">Networking and memory remain healthy but do not eliminate the VIP gap.</w:t>
      </w:r>
    </w:p>
    <w:p>
      <w:pPr>
        <w:pStyle w:val="Compact"/>
        <w:numPr>
          <w:ilvl w:val="0"/>
          <w:numId w:val="1018"/>
        </w:numPr>
      </w:pPr>
      <w:r>
        <w:t xml:space="preserve">Management reiterates strong long-term demand while retaining limited near-term visibility.</w:t>
      </w:r>
    </w:p>
    <w:p>
      <w:pPr>
        <w:pStyle w:val="FirstParagraph"/>
      </w:pPr>
      <w:r>
        <w:rPr>
          <w:b/>
          <w:bCs/>
        </w:rPr>
        <w:t xml:space="preserve">Interpretation:</w:t>
      </w:r>
      <w:r>
        <w:t xml:space="preserve"> </w:t>
      </w:r>
      <w:r>
        <w:t xml:space="preserve">Fundamentals remain excellent, but the stock’s reaction depends on whether the magnitude of the second-half decline is already priced in.</w:t>
      </w:r>
    </w:p>
    <w:bookmarkEnd w:id="29"/>
    <w:bookmarkStart w:id="30" w:name="bearish-outcome"/>
    <w:p>
      <w:pPr>
        <w:pStyle w:val="Heading3"/>
      </w:pPr>
      <w:r>
        <w:t xml:space="preserve">Bearish outcome</w:t>
      </w:r>
    </w:p>
    <w:p>
      <w:pPr>
        <w:pStyle w:val="Compact"/>
        <w:numPr>
          <w:ilvl w:val="0"/>
          <w:numId w:val="1019"/>
        </w:numPr>
      </w:pPr>
      <w:r>
        <w:t xml:space="preserve">Revenue or gross margin misses guidance.</w:t>
      </w:r>
    </w:p>
    <w:p>
      <w:pPr>
        <w:pStyle w:val="Compact"/>
        <w:numPr>
          <w:ilvl w:val="0"/>
          <w:numId w:val="1019"/>
        </w:numPr>
      </w:pPr>
      <w:r>
        <w:t xml:space="preserve">Q3 guidance signals a steeper-than-expected decline.</w:t>
      </w:r>
    </w:p>
    <w:p>
      <w:pPr>
        <w:pStyle w:val="Compact"/>
        <w:numPr>
          <w:ilvl w:val="0"/>
          <w:numId w:val="1019"/>
        </w:numPr>
      </w:pPr>
      <w:r>
        <w:t xml:space="preserve">VIP-compute orders are pushed into 2027 without sufficient networking or memory offsets.</w:t>
      </w:r>
    </w:p>
    <w:p>
      <w:pPr>
        <w:pStyle w:val="Compact"/>
        <w:numPr>
          <w:ilvl w:val="0"/>
          <w:numId w:val="1019"/>
        </w:numPr>
      </w:pPr>
      <w:r>
        <w:t xml:space="preserve">Merchant-GPU or silicon-photonics production timelines slip.</w:t>
      </w:r>
    </w:p>
    <w:p>
      <w:pPr>
        <w:pStyle w:val="Compact"/>
        <w:numPr>
          <w:ilvl w:val="0"/>
          <w:numId w:val="1019"/>
        </w:numPr>
      </w:pPr>
      <w:r>
        <w:t xml:space="preserve">Customer acceptances, working capital or supply-chain issues worsen.</w:t>
      </w:r>
    </w:p>
    <w:p>
      <w:pPr>
        <w:pStyle w:val="FirstParagraph"/>
      </w:pPr>
      <w:r>
        <w:rPr>
          <w:b/>
          <w:bCs/>
        </w:rPr>
        <w:t xml:space="preserve">Interpretation:</w:t>
      </w:r>
      <w:r>
        <w:t xml:space="preserve"> </w:t>
      </w:r>
      <w:r>
        <w:t xml:space="preserve">Investors begin treating first-half 2026 earnings as a temporary peak rather than the foundation for sustained growth.</w:t>
      </w:r>
    </w:p>
    <w:p>
      <w:r>
        <w:pict>
          <v:rect style="width:0;height:1.5pt" o:hralign="center" o:hrstd="t" o:hr="t"/>
        </w:pict>
      </w:r>
    </w:p>
    <w:bookmarkEnd w:id="30"/>
    <w:bookmarkEnd w:id="31"/>
    <w:bookmarkStart w:id="32" w:name="Xa1740b7bd45f5792d41af410f2b04692ffe2dae"/>
    <w:p>
      <w:pPr>
        <w:pStyle w:val="Heading2"/>
      </w:pPr>
      <w:r>
        <w:t xml:space="preserve">Questions that should determine the reaction</w:t>
      </w:r>
    </w:p>
    <w:p>
      <w:pPr>
        <w:pStyle w:val="Compact"/>
        <w:numPr>
          <w:ilvl w:val="0"/>
          <w:numId w:val="1020"/>
        </w:numPr>
      </w:pPr>
      <w:r>
        <w:rPr>
          <w:b/>
          <w:bCs/>
        </w:rPr>
        <w:t xml:space="preserve">What percentage of annual revenue is now expected in the first half: closer to 55% or 60%?</w:t>
      </w:r>
    </w:p>
    <w:p>
      <w:pPr>
        <w:pStyle w:val="Compact"/>
        <w:numPr>
          <w:ilvl w:val="0"/>
          <w:numId w:val="1020"/>
        </w:numPr>
      </w:pPr>
      <w:r>
        <w:rPr>
          <w:b/>
          <w:bCs/>
        </w:rPr>
        <w:t xml:space="preserve">How much sequentially will VIP compute decline in Q3?</w:t>
      </w:r>
    </w:p>
    <w:p>
      <w:pPr>
        <w:pStyle w:val="Compact"/>
        <w:numPr>
          <w:ilvl w:val="0"/>
          <w:numId w:val="1020"/>
        </w:numPr>
      </w:pPr>
      <w:r>
        <w:rPr>
          <w:b/>
          <w:bCs/>
        </w:rPr>
        <w:t xml:space="preserve">Can memory and networking grow sequentially in the second half?</w:t>
      </w:r>
    </w:p>
    <w:p>
      <w:pPr>
        <w:pStyle w:val="Compact"/>
        <w:numPr>
          <w:ilvl w:val="0"/>
          <w:numId w:val="1020"/>
        </w:numPr>
      </w:pPr>
      <w:r>
        <w:rPr>
          <w:b/>
          <w:bCs/>
        </w:rPr>
        <w:t xml:space="preserve">Did the first merchant-GPU systems enter production on schedule?</w:t>
      </w:r>
    </w:p>
    <w:p>
      <w:pPr>
        <w:pStyle w:val="Compact"/>
        <w:numPr>
          <w:ilvl w:val="0"/>
          <w:numId w:val="1020"/>
        </w:numPr>
      </w:pPr>
      <w:r>
        <w:rPr>
          <w:b/>
          <w:bCs/>
        </w:rPr>
        <w:t xml:space="preserve">Has the $50 million 2026 merchant-GPU estimate changed?</w:t>
      </w:r>
    </w:p>
    <w:p>
      <w:pPr>
        <w:pStyle w:val="Compact"/>
        <w:numPr>
          <w:ilvl w:val="0"/>
          <w:numId w:val="1020"/>
        </w:numPr>
      </w:pPr>
      <w:r>
        <w:rPr>
          <w:b/>
          <w:bCs/>
        </w:rPr>
        <w:t xml:space="preserve">Are additional custom-ASIC or hyperscaler programs moving toward production?</w:t>
      </w:r>
    </w:p>
    <w:p>
      <w:pPr>
        <w:pStyle w:val="Compact"/>
        <w:numPr>
          <w:ilvl w:val="0"/>
          <w:numId w:val="1020"/>
        </w:numPr>
      </w:pPr>
      <w:r>
        <w:rPr>
          <w:b/>
          <w:bCs/>
        </w:rPr>
        <w:t xml:space="preserve">How much of Q2 gross-margin performance is sustainable below peak volume?</w:t>
      </w:r>
    </w:p>
    <w:p>
      <w:pPr>
        <w:pStyle w:val="Compact"/>
        <w:numPr>
          <w:ilvl w:val="0"/>
          <w:numId w:val="1020"/>
        </w:numPr>
      </w:pPr>
      <w:r>
        <w:rPr>
          <w:b/>
          <w:bCs/>
        </w:rPr>
        <w:t xml:space="preserve">Is Robotics now structurally profitable?</w:t>
      </w:r>
    </w:p>
    <w:p>
      <w:pPr>
        <w:pStyle w:val="Compact"/>
        <w:numPr>
          <w:ilvl w:val="0"/>
          <w:numId w:val="1020"/>
        </w:numPr>
      </w:pPr>
      <w:r>
        <w:rPr>
          <w:b/>
          <w:bCs/>
        </w:rPr>
        <w:t xml:space="preserve">Are customer order lead times and visibility improving beyond one quarter?</w:t>
      </w:r>
    </w:p>
    <w:p>
      <w:pPr>
        <w:pStyle w:val="Compact"/>
        <w:numPr>
          <w:ilvl w:val="0"/>
          <w:numId w:val="1020"/>
        </w:numPr>
      </w:pPr>
      <w:r>
        <w:rPr>
          <w:b/>
          <w:bCs/>
        </w:rPr>
        <w:t xml:space="preserve">Does management see any end-demand weakness, or only timing-related lumpiness?</w:t>
      </w:r>
    </w:p>
    <w:bookmarkEnd w:id="32"/>
    <w:bookmarkStart w:id="33" w:name="bottom-line"/>
    <w:p>
      <w:pPr>
        <w:pStyle w:val="Heading2"/>
      </w:pPr>
      <w:r>
        <w:t xml:space="preserve">Bottom line</w:t>
      </w:r>
    </w:p>
    <w:p>
      <w:pPr>
        <w:pStyle w:val="FirstParagraph"/>
      </w:pPr>
      <w:r>
        <w:rPr>
          <w:b/>
          <w:bCs/>
        </w:rPr>
        <w:t xml:space="preserve">Q2 itself appears well supported. The debate is about the earnings trajectory after Q2.</w:t>
      </w:r>
    </w:p>
    <w:p>
      <w:pPr>
        <w:pStyle w:val="BodyText"/>
      </w:pPr>
      <w:r>
        <w:t xml:space="preserve">The most constructive result would not simply be revenue above $1.25 billion. It would be evidence that networking, memory, merchant GPU and adjacent AI-test opportunities are broadening quickly enough to make the second-half decline shallower—and shorter—than investors currently fear.</w:t>
      </w:r>
    </w:p>
    <w:p>
      <w:pPr>
        <w:pStyle w:val="BodyText"/>
      </w:pPr>
      <w:r>
        <w:t xml:space="preserve">Conversely, a large Q2 beat accompanied by cautious Q3 guidance would reinforce the concern that Teradyne’s record first-half profitability represents a near-term peak. Given the valuation and the stock’s reaction to Q1,</w:t>
      </w:r>
      <w:r>
        <w:t xml:space="preserve"> </w:t>
      </w:r>
      <w:r>
        <w:rPr>
          <w:b/>
          <w:bCs/>
        </w:rPr>
        <w:t xml:space="preserve">forward guidance, program timing and revenue quality should matter considerably more than the headline EPS number</w:t>
      </w:r>
      <w:r>
        <w:t xml:space="preserv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s.teradyne.com/news-events/press-releases/detail/440/teradyne-reports-first-quarter-2026-results?utm_source=openai" TargetMode="External" /><Relationship Type="http://schemas.openxmlformats.org/officeDocument/2006/relationships/hyperlink" Id="rId9" Target="https://investors.teradyne.com/news-events/press-releases/detail/444/teradyne-to-announce-second-quarter-2026-results?utm_source=openai" TargetMode="External" /><Relationship Type="http://schemas.openxmlformats.org/officeDocument/2006/relationships/hyperlink" Id="rId26" Target="https://investors.teradyne.com/sec-filings/all-sec-filings/content/0001193125-26-127510/0001193125-26-127510.pdf?utm_source=openai" TargetMode="External" /><Relationship Type="http://schemas.openxmlformats.org/officeDocument/2006/relationships/hyperlink" Id="rId24" Target="https://investors.teradyne.com/sec-filings/all-sec-filings/content/0001193125-26-201058/ter-20260329.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s.teradyne.com/news-events/press-releases/detail/440/teradyne-reports-first-quarter-2026-results?utm_source=openai" TargetMode="External" /><Relationship Type="http://schemas.openxmlformats.org/officeDocument/2006/relationships/hyperlink" Id="rId9" Target="https://investors.teradyne.com/news-events/press-releases/detail/444/teradyne-to-announce-second-quarter-2026-results?utm_source=openai" TargetMode="External" /><Relationship Type="http://schemas.openxmlformats.org/officeDocument/2006/relationships/hyperlink" Id="rId26" Target="https://investors.teradyne.com/sec-filings/all-sec-filings/content/0001193125-26-127510/0001193125-26-127510.pdf?utm_source=openai" TargetMode="External" /><Relationship Type="http://schemas.openxmlformats.org/officeDocument/2006/relationships/hyperlink" Id="rId24" Target="https://investors.teradyne.com/sec-filings/all-sec-filings/content/0001193125-26-201058/ter-20260329.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2026-07-28T01:42:24Z</dcterms:created>
  <dcterms:modified xsi:type="dcterms:W3CDTF">2026-07-28T01:42:24Z</dcterms:modified>
</cp:coreProperties>
</file>

<file path=docProps/custom.xml><?xml version="1.0" encoding="utf-8"?>
<Properties xmlns="http://schemas.openxmlformats.org/officeDocument/2006/custom-properties" xmlns:vt="http://schemas.openxmlformats.org/officeDocument/2006/docPropsVTypes"/>
</file>