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62c421b3d61256065697b434a4453918c084398"/>
    <w:p>
      <w:pPr>
        <w:pStyle w:val="Heading1"/>
      </w:pPr>
      <w:r>
        <w:t xml:space="preserve">Teradyne (NASDAQ: TER) — 2Q26 Earnings Preview</w:t>
      </w:r>
    </w:p>
    <w:p>
      <w:pPr>
        <w:pStyle w:val="BlockText"/>
      </w:pPr>
      <w:r>
        <w:rPr>
          <w:b/>
          <w:bCs/>
        </w:rPr>
        <w:t xml:space="preserve">Date check:</w:t>
      </w:r>
      <w:r>
        <w:t xml:space="preserve"> </w:t>
      </w:r>
      <w:r>
        <w:t xml:space="preserve">Today is</w:t>
      </w:r>
      <w:r>
        <w:t xml:space="preserve"> </w:t>
      </w:r>
      <w:r>
        <w:rPr>
          <w:b/>
          <w:bCs/>
        </w:rPr>
        <w:t xml:space="preserve">Tuesday, July 28, 2026</w:t>
      </w:r>
      <w:r>
        <w:t xml:space="preserve">. The prompt labels the event as “tomorrow,” but</w:t>
      </w:r>
      <w:r>
        <w:t xml:space="preserve"> </w:t>
      </w:r>
      <w:r>
        <w:rPr>
          <w:b/>
          <w:bCs/>
        </w:rPr>
        <w:t xml:space="preserve">July 28 is today</w:t>
      </w:r>
      <w:r>
        <w:t xml:space="preserve">. The available event calendar indicates Teradyne is expected to report</w:t>
      </w:r>
      <w:r>
        <w:t xml:space="preserve"> </w:t>
      </w:r>
      <w:r>
        <w:rPr>
          <w:b/>
          <w:bCs/>
        </w:rPr>
        <w:t xml:space="preserve">after the U.S. market close on July 28</w:t>
      </w:r>
      <w:r>
        <w:t xml:space="preserve">; investors should confirm the associated conference-call time through Teradyne IR.</w:t>
      </w:r>
    </w:p>
    <w:bookmarkStart w:id="9" w:name="bottom-line"/>
    <w:p>
      <w:pPr>
        <w:pStyle w:val="Heading2"/>
      </w:pPr>
      <w:r>
        <w:t xml:space="preserve">Bottom line</w:t>
      </w:r>
    </w:p>
    <w:p>
      <w:pPr>
        <w:pStyle w:val="FirstParagraph"/>
      </w:pPr>
      <w:r>
        <w:t xml:space="preserve">Teradyne enters 2Q26 earnings with</w:t>
      </w:r>
      <w:r>
        <w:t xml:space="preserve"> </w:t>
      </w:r>
      <w:r>
        <w:rPr>
          <w:b/>
          <w:bCs/>
        </w:rPr>
        <w:t xml:space="preserve">fundamentals that remain exceptionally strong</w:t>
      </w:r>
      <w:r>
        <w:t xml:space="preserve">, but with a high bar around the durability and timing of AI-test demand. The headline Q2 setup is relatively straightforward: consensus is close to the midpoint of management’s guidance, so the market’s focus should be less on whether TER clears the quarter and more on:</w:t>
      </w:r>
    </w:p>
    <w:p>
      <w:pPr>
        <w:pStyle w:val="Compact"/>
        <w:numPr>
          <w:ilvl w:val="0"/>
          <w:numId w:val="1001"/>
        </w:numPr>
      </w:pPr>
      <w:r>
        <w:rPr>
          <w:b/>
          <w:bCs/>
        </w:rPr>
        <w:t xml:space="preserve">The shape of 2H26 demand and 2027 visibility</w:t>
      </w:r>
    </w:p>
    <w:p>
      <w:pPr>
        <w:pStyle w:val="Compact"/>
        <w:numPr>
          <w:ilvl w:val="0"/>
          <w:numId w:val="1001"/>
        </w:numPr>
      </w:pPr>
      <w:r>
        <w:rPr>
          <w:b/>
          <w:bCs/>
        </w:rPr>
        <w:t xml:space="preserve">Whether AI compute, networking, and memory momentum is broadening</w:t>
      </w:r>
    </w:p>
    <w:p>
      <w:pPr>
        <w:pStyle w:val="Compact"/>
        <w:numPr>
          <w:ilvl w:val="0"/>
          <w:numId w:val="1001"/>
        </w:numPr>
      </w:pPr>
      <w:r>
        <w:rPr>
          <w:b/>
          <w:bCs/>
        </w:rPr>
        <w:t xml:space="preserve">Gross-margin normalization versus the record 1Q level</w:t>
      </w:r>
    </w:p>
    <w:p>
      <w:pPr>
        <w:pStyle w:val="Compact"/>
        <w:numPr>
          <w:ilvl w:val="0"/>
          <w:numId w:val="1001"/>
        </w:numPr>
      </w:pPr>
      <w:r>
        <w:rPr>
          <w:b/>
          <w:bCs/>
        </w:rPr>
        <w:t xml:space="preserve">Early evidence that merchant-GPU and silicon-photonics opportunities can become material incremental growth vectors</w:t>
      </w:r>
    </w:p>
    <w:p>
      <w:pPr>
        <w:pStyle w:val="FirstParagraph"/>
      </w:pPr>
      <w:r>
        <w:t xml:space="preserve">Teradyne’s 1Q26 result established a very high starting point: revenue reached a record</w:t>
      </w:r>
      <w:r>
        <w:t xml:space="preserve"> </w:t>
      </w:r>
      <m:oMath>
        <m:r>
          <m:t>1.282</m:t>
        </m:r>
        <m:r>
          <m:t>b</m:t>
        </m:r>
        <m:r>
          <m:t>i</m:t>
        </m:r>
        <m:r>
          <m:t>l</m:t>
        </m:r>
        <m:r>
          <m:t>l</m:t>
        </m:r>
        <m:r>
          <m:t>i</m:t>
        </m:r>
        <m:r>
          <m:t>o</m:t>
        </m:r>
        <m:r>
          <m:t>n</m:t>
        </m:r>
        <m:r>
          <m:rPr>
            <m:sty m:val="p"/>
          </m:rPr>
          <m:t>*</m:t>
        </m:r>
        <m:r>
          <m:rPr>
            <m:sty m:val="p"/>
          </m:rPr>
          <m:t>*</m:t>
        </m:r>
        <m:r>
          <m:rPr>
            <m:sty m:val="p"/>
          </m:rPr>
          <m:t>,</m:t>
        </m:r>
        <m:r>
          <m:t>u</m:t>
        </m:r>
        <m:r>
          <m:t>p</m:t>
        </m:r>
        <m:r>
          <m:rPr>
            <m:sty m:val="p"/>
          </m:rPr>
          <m:t>*</m:t>
        </m:r>
        <m:r>
          <m:rPr>
            <m:sty m:val="p"/>
          </m:rPr>
          <m:t>*</m:t>
        </m:r>
        <m:r>
          <m:t>87</m:t>
        </m:r>
      </m:oMath>
      <w:r>
        <w:rPr>
          <w:b/>
          <w:bCs/>
        </w:rPr>
        <w:t xml:space="preserve">2.56</w:t>
      </w:r>
      <w:r>
        <w:t xml:space="preserve">. The company characterized roughly</w:t>
      </w:r>
      <w:r>
        <w:t xml:space="preserve"> </w:t>
      </w:r>
      <w:r>
        <w:rPr>
          <w:b/>
          <w:bCs/>
        </w:rPr>
        <w:t xml:space="preserve">70% of revenue as AI-related</w:t>
      </w:r>
      <w:r>
        <w:t xml:space="preserve">, illustrating both the scale of the opportunity and the rising importance of a comparatively concentrated set of very large customers and device programs.</w:t>
      </w:r>
    </w:p>
    <w:p>
      <w:pPr>
        <w:pStyle w:val="BodyText"/>
      </w:pPr>
      <w:r>
        <w:t xml:space="preserve">The stock setup is more balanced than it was at the late-June peak. TER closed at</w:t>
      </w:r>
      <w:r>
        <w:t xml:space="preserve"> </w:t>
      </w:r>
      <w:r>
        <w:rPr>
          <w:b/>
          <w:bCs/>
        </w:rPr>
        <w:t xml:space="preserve">$334.81 on July 27</w:t>
      </w:r>
      <w:r>
        <w:t xml:space="preserve">, still about</w:t>
      </w:r>
      <w:r>
        <w:t xml:space="preserve"> </w:t>
      </w:r>
      <w:r>
        <w:rPr>
          <w:b/>
          <w:bCs/>
        </w:rPr>
        <w:t xml:space="preserve">61% above its January 2 close</w:t>
      </w:r>
      <w:r>
        <w:t xml:space="preserve">, but roughly</w:t>
      </w:r>
      <w:r>
        <w:t xml:space="preserve"> </w:t>
      </w:r>
      <w:r>
        <w:rPr>
          <w:b/>
          <w:bCs/>
        </w:rPr>
        <w:t xml:space="preserve">31% below its June 30 closing high of $483.84</w:t>
      </w:r>
      <w:r>
        <w:t xml:space="preserve">. That pullback may reduce some near-term valuation pressure, but expectations for an AI-exposed ATE leader remain elevated. A merely in-line print accompanied by cautious second-half commentary could therefore still be insufficient.</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Management 2Q26 guide</w:t>
            </w:r>
          </w:p>
        </w:tc>
        <w:tc>
          <w:tcPr/>
          <w:p>
            <w:pPr>
              <w:pStyle w:val="Compact"/>
              <w:jc w:val="right"/>
            </w:pPr>
            <w:r>
              <w:t xml:space="preserve">Street expectation*</w:t>
            </w:r>
          </w:p>
        </w:tc>
        <w:tc>
          <w:tcPr/>
          <w:p>
            <w:pPr>
              <w:pStyle w:val="Compact"/>
              <w:jc w:val="right"/>
            </w:pPr>
            <w:r>
              <w:t xml:space="preserve">1Q26 actual</w:t>
            </w:r>
          </w:p>
        </w:tc>
      </w:tr>
      <w:tr>
        <w:tc>
          <w:tcPr/>
          <w:p>
            <w:pPr>
              <w:pStyle w:val="Compact"/>
            </w:pPr>
            <w:r>
              <w:t xml:space="preserve">Revenue</w:t>
            </w:r>
          </w:p>
        </w:tc>
        <w:tc>
          <w:tcPr/>
          <w:p>
            <w:pPr>
              <w:pStyle w:val="Compact"/>
              <w:jc w:val="right"/>
            </w:pPr>
            <m:oMath>
              <m:r>
                <m:t>1.15</m:t>
              </m:r>
              <m:r>
                <m:t>B</m:t>
              </m:r>
              <m:r>
                <m:rPr>
                  <m:sty m:val="p"/>
                </m:rPr>
                <m:t>–</m:t>
              </m:r>
            </m:oMath>
            <w:r>
              <w:t xml:space="preserve">1.25B</w:t>
            </w:r>
          </w:p>
        </w:tc>
        <w:tc>
          <w:tcPr/>
          <w:p>
            <w:pPr>
              <w:pStyle w:val="Compact"/>
              <w:jc w:val="right"/>
            </w:pPr>
            <w:r>
              <w:rPr>
                <w:b/>
                <w:bCs/>
              </w:rPr>
              <w:t xml:space="preserve">$1.21B</w:t>
            </w:r>
          </w:p>
        </w:tc>
        <w:tc>
          <w:tcPr/>
          <w:p>
            <w:pPr>
              <w:pStyle w:val="Compact"/>
              <w:jc w:val="right"/>
            </w:pPr>
            <w:r>
              <w:t xml:space="preserve">$1.282B</w:t>
            </w:r>
          </w:p>
        </w:tc>
      </w:tr>
      <w:tr>
        <w:tc>
          <w:tcPr/>
          <w:p>
            <w:pPr>
              <w:pStyle w:val="Compact"/>
            </w:pPr>
            <w:r>
              <w:t xml:space="preserve">Non-GAAP EPS</w:t>
            </w:r>
          </w:p>
        </w:tc>
        <w:tc>
          <w:tcPr/>
          <w:p>
            <w:pPr>
              <w:pStyle w:val="Compact"/>
              <w:jc w:val="right"/>
            </w:pPr>
            <m:oMath>
              <m:r>
                <m:t>1.86</m:t>
              </m:r>
              <m:r>
                <m:rPr>
                  <m:sty m:val="p"/>
                </m:rPr>
                <m:t>–</m:t>
              </m:r>
            </m:oMath>
            <w:r>
              <w:t xml:space="preserve">2.15</w:t>
            </w:r>
          </w:p>
        </w:tc>
        <w:tc>
          <w:tcPr/>
          <w:p>
            <w:pPr>
              <w:pStyle w:val="Compact"/>
              <w:jc w:val="right"/>
            </w:pPr>
            <w:r>
              <w:rPr>
                <w:b/>
                <w:bCs/>
              </w:rPr>
              <w:t xml:space="preserve">$2.05</w:t>
            </w:r>
          </w:p>
        </w:tc>
        <w:tc>
          <w:tcPr/>
          <w:p>
            <w:pPr>
              <w:pStyle w:val="Compact"/>
              <w:jc w:val="right"/>
            </w:pPr>
            <w:r>
              <w:t xml:space="preserve">$2.56</w:t>
            </w:r>
          </w:p>
        </w:tc>
      </w:tr>
      <w:tr>
        <w:tc>
          <w:tcPr/>
          <w:p>
            <w:pPr>
              <w:pStyle w:val="Compact"/>
            </w:pPr>
            <w:r>
              <w:t xml:space="preserve">Gross margin</w:t>
            </w:r>
          </w:p>
        </w:tc>
        <w:tc>
          <w:tcPr/>
          <w:p>
            <w:pPr>
              <w:pStyle w:val="Compact"/>
              <w:jc w:val="right"/>
            </w:pPr>
            <w:r>
              <w:t xml:space="preserve">58%–59%</w:t>
            </w:r>
          </w:p>
        </w:tc>
        <w:tc>
          <w:tcPr/>
          <w:p>
            <w:pPr>
              <w:pStyle w:val="Compact"/>
              <w:jc w:val="right"/>
            </w:pPr>
            <w:r>
              <w:rPr>
                <w:b/>
                <w:bCs/>
              </w:rPr>
              <w:t xml:space="preserve">58.5%</w:t>
            </w:r>
          </w:p>
        </w:tc>
        <w:tc>
          <w:tcPr/>
          <w:p>
            <w:pPr>
              <w:pStyle w:val="Compact"/>
              <w:jc w:val="right"/>
            </w:pPr>
            <w:r>
              <w:t xml:space="preserve">60.9%</w:t>
            </w:r>
          </w:p>
        </w:tc>
      </w:tr>
      <w:tr>
        <w:tc>
          <w:tcPr/>
          <w:p>
            <w:pPr>
              <w:pStyle w:val="Compact"/>
            </w:pPr>
            <w:r>
              <w:t xml:space="preserve">Semiconductor Test revenue</w:t>
            </w:r>
          </w:p>
        </w:tc>
        <w:tc>
          <w:tcPr/>
          <w:p>
            <w:pPr>
              <w:pStyle w:val="Compact"/>
              <w:jc w:val="right"/>
            </w:pPr>
            <w:r>
              <w:t xml:space="preserve">—</w:t>
            </w:r>
          </w:p>
        </w:tc>
        <w:tc>
          <w:tcPr/>
          <w:p>
            <w:pPr>
              <w:pStyle w:val="Compact"/>
              <w:jc w:val="right"/>
            </w:pPr>
            <w:r>
              <w:rPr>
                <w:b/>
                <w:bCs/>
              </w:rPr>
              <w:t xml:space="preserve">$1.041B</w:t>
            </w:r>
          </w:p>
        </w:tc>
        <w:tc>
          <w:tcPr/>
          <w:p>
            <w:pPr>
              <w:pStyle w:val="Compact"/>
              <w:jc w:val="right"/>
            </w:pPr>
            <w:r>
              <w:t xml:space="preserve">$1.111B</w:t>
            </w:r>
          </w:p>
        </w:tc>
      </w:tr>
    </w:tbl>
    <w:p>
      <w:pPr>
        <w:pStyle w:val="BodyText"/>
      </w:pPr>
      <w:r>
        <w:t xml:space="preserve">*Street estimates cited in the July 24 market digest.</w:t>
      </w:r>
    </w:p>
    <w:p>
      <w:pPr>
        <w:pStyle w:val="BodyText"/>
      </w:pPr>
      <w:r>
        <w:t xml:space="preserve">Consensus revenue is about</w:t>
      </w:r>
      <w:r>
        <w:t xml:space="preserve"> </w:t>
      </w:r>
      <w:r>
        <w:rPr>
          <w:b/>
          <w:bCs/>
        </w:rPr>
        <w:t xml:space="preserve">5% above the low end</w:t>
      </w:r>
      <w:r>
        <w:t xml:space="preserve"> </w:t>
      </w:r>
      <w:r>
        <w:t xml:space="preserve">of guidance and only</w:t>
      </w:r>
      <w:r>
        <w:t xml:space="preserve"> </w:t>
      </w:r>
      <w:r>
        <w:rPr>
          <w:b/>
          <w:bCs/>
        </w:rPr>
        <w:t xml:space="preserve">3% below the high end</w:t>
      </w:r>
      <w:r>
        <w:t xml:space="preserve">, while consensus EPS is modestly above the guidance midpoint. In other words, the market appears to expect a solid execution quarter—not a material guide-down—but it is not clearly underwriting a blowout result.</w:t>
      </w:r>
    </w:p>
    <w:p>
      <w:pPr>
        <w:pStyle w:val="BodyText"/>
      </w:pPr>
      <w:r>
        <w:t xml:space="preserve">The expected sequential revenue decline from 1Q is not necessarily a demand warning. Management framed 1Q as benefiting from peak AI-driven volumes, favorable mix, and some nonrecurring operational benefits. The more consequential question is whether Q2 results and bookings support the company’s view that 2026 is a strong growth year despite pronounced quarterly lumpiness.</w:t>
      </w:r>
    </w:p>
    <w:p>
      <w:r>
        <w:pict>
          <v:rect style="width:0;height:1.5pt" o:hralign="center" o:hrstd="t" o:hr="t"/>
        </w:pict>
      </w:r>
    </w:p>
    <w:bookmarkEnd w:id="10"/>
    <w:bookmarkStart w:id="13" w:name="X6bb804b3491e0a4f2b280afb5c60988fe245432"/>
    <w:p>
      <w:pPr>
        <w:pStyle w:val="Heading2"/>
      </w:pPr>
      <w:r>
        <w:t xml:space="preserve">The key debate: strong AI demand versus uneven timing</w:t>
      </w:r>
    </w:p>
    <w:bookmarkStart w:id="11" w:name="X36b3f7257e7d5efc6bbc5b4435297f7c4173843"/>
    <w:p>
      <w:pPr>
        <w:pStyle w:val="Heading3"/>
      </w:pPr>
      <w:r>
        <w:t xml:space="preserve">Bull case: AI demand is broadening across Teradyne’s portfolio</w:t>
      </w:r>
    </w:p>
    <w:p>
      <w:pPr>
        <w:pStyle w:val="FirstParagraph"/>
      </w:pPr>
      <w:r>
        <w:t xml:space="preserve">The structural argument for TER remains compelling:</w:t>
      </w:r>
    </w:p>
    <w:p>
      <w:pPr>
        <w:pStyle w:val="Compact"/>
        <w:numPr>
          <w:ilvl w:val="0"/>
          <w:numId w:val="1002"/>
        </w:numPr>
      </w:pPr>
      <w:r>
        <w:rPr>
          <w:b/>
          <w:bCs/>
        </w:rPr>
        <w:t xml:space="preserve">Compute:</w:t>
      </w:r>
      <w:r>
        <w:t xml:space="preserve"> </w:t>
      </w:r>
      <w:r>
        <w:t xml:space="preserve">Compute represented roughly</w:t>
      </w:r>
      <w:r>
        <w:t xml:space="preserve"> </w:t>
      </w:r>
      <w:r>
        <w:rPr>
          <w:b/>
          <w:bCs/>
        </w:rPr>
        <w:t xml:space="preserve">75% of SoC revenue</w:t>
      </w:r>
      <w:r>
        <w:t xml:space="preserve"> </w:t>
      </w:r>
      <w:r>
        <w:t xml:space="preserve">in 1Q, reflecting the business’s shift from a historically mobile-centric mix toward AI infrastructure.</w:t>
      </w:r>
    </w:p>
    <w:p>
      <w:pPr>
        <w:pStyle w:val="Compact"/>
        <w:numPr>
          <w:ilvl w:val="0"/>
          <w:numId w:val="1002"/>
        </w:numPr>
      </w:pPr>
      <w:r>
        <w:rPr>
          <w:b/>
          <w:bCs/>
        </w:rPr>
        <w:t xml:space="preserve">Memory:</w:t>
      </w:r>
      <w:r>
        <w:t xml:space="preserve"> </w:t>
      </w:r>
      <w:r>
        <w:t xml:space="preserve">1Q memory-test revenue was a record</w:t>
      </w:r>
      <w:r>
        <w:t xml:space="preserve"> </w:t>
      </w:r>
      <w:r>
        <w:rPr>
          <w:b/>
          <w:bCs/>
        </w:rPr>
        <w:t xml:space="preserve">$203 million</w:t>
      </w:r>
      <w:r>
        <w:t xml:space="preserve">, supported by HBM and DRAM demand; management expected memory to be more second-half weighted.</w:t>
      </w:r>
    </w:p>
    <w:p>
      <w:pPr>
        <w:pStyle w:val="Compact"/>
        <w:numPr>
          <w:ilvl w:val="0"/>
          <w:numId w:val="1002"/>
        </w:numPr>
      </w:pPr>
      <w:r>
        <w:rPr>
          <w:b/>
          <w:bCs/>
        </w:rPr>
        <w:t xml:space="preserve">Networking:</w:t>
      </w:r>
      <w:r>
        <w:t xml:space="preserve"> </w:t>
      </w:r>
      <w:r>
        <w:t xml:space="preserve">Teradyne cited strong customer engagement and a robust pipeline across networking and compute.</w:t>
      </w:r>
    </w:p>
    <w:p>
      <w:pPr>
        <w:pStyle w:val="Compact"/>
        <w:numPr>
          <w:ilvl w:val="0"/>
          <w:numId w:val="1002"/>
        </w:numPr>
      </w:pPr>
      <w:r>
        <w:rPr>
          <w:b/>
          <w:bCs/>
        </w:rPr>
        <w:t xml:space="preserve">Merchant GPU:</w:t>
      </w:r>
      <w:r>
        <w:t xml:space="preserve"> </w:t>
      </w:r>
      <w:r>
        <w:t xml:space="preserve">The company received its first multi-system production orders in 1Q and expected systems to ship, install, and enter production during 2Q. This is strategically important even if the near-term revenue contribution is limited.</w:t>
      </w:r>
    </w:p>
    <w:p>
      <w:pPr>
        <w:pStyle w:val="Compact"/>
        <w:numPr>
          <w:ilvl w:val="0"/>
          <w:numId w:val="1002"/>
        </w:numPr>
      </w:pPr>
      <w:r>
        <w:rPr>
          <w:b/>
          <w:bCs/>
        </w:rPr>
        <w:t xml:space="preserve">Silicon photonics / CPO:</w:t>
      </w:r>
      <w:r>
        <w:t xml:space="preserve"> </w:t>
      </w:r>
      <w:r>
        <w:t xml:space="preserve">Teradyne introduced Photon100, and management sees a potential</w:t>
      </w:r>
      <w:r>
        <w:t xml:space="preserve"> </w:t>
      </w:r>
      <m:oMath>
        <m:r>
          <m:t>300</m:t>
        </m:r>
        <m:r>
          <m:t>m</m:t>
        </m:r>
        <m:r>
          <m:t>i</m:t>
        </m:r>
        <m:r>
          <m:t>l</m:t>
        </m:r>
        <m:r>
          <m:t>l</m:t>
        </m:r>
        <m:r>
          <m:t>i</m:t>
        </m:r>
        <m:r>
          <m:t>o</m:t>
        </m:r>
        <m:r>
          <m:t>n</m:t>
        </m:r>
        <m:r>
          <m:rPr>
            <m:sty m:val="p"/>
          </m:rPr>
          <m:t>–</m:t>
        </m:r>
      </m:oMath>
      <w:r>
        <w:rPr>
          <w:b/>
          <w:bCs/>
        </w:rPr>
        <w:t xml:space="preserve">700 million annual test-equipment TAM</w:t>
      </w:r>
      <w:r>
        <w:t xml:space="preserve"> </w:t>
      </w:r>
      <w:r>
        <w:t xml:space="preserve">over the midterm. It characterized the current 2026 silicon-photonics market as roughly $100 million, so this is an early-stage option rather than a near-term earnings driver.</w:t>
      </w:r>
    </w:p>
    <w:p>
      <w:pPr>
        <w:pStyle w:val="Compact"/>
        <w:numPr>
          <w:ilvl w:val="0"/>
          <w:numId w:val="1002"/>
        </w:numPr>
      </w:pPr>
      <w:r>
        <w:rPr>
          <w:b/>
          <w:bCs/>
        </w:rPr>
        <w:t xml:space="preserve">Robotics:</w:t>
      </w:r>
      <w:r>
        <w:t xml:space="preserve"> </w:t>
      </w:r>
      <w:r>
        <w:t xml:space="preserve">Revenue rose</w:t>
      </w:r>
      <w:r>
        <w:t xml:space="preserve"> </w:t>
      </w:r>
      <w:r>
        <w:rPr>
          <w:b/>
          <w:bCs/>
        </w:rPr>
        <w:t xml:space="preserve">32% year over year</w:t>
      </w:r>
      <w:r>
        <w:t xml:space="preserve"> </w:t>
      </w:r>
      <w:r>
        <w:t xml:space="preserve">to $91 million in 1Q, marking the fourth consecutive sequential increase. It remains small versus Semiconductor Test but is relevant to the broader “wafer to AI data center” strategy.</w:t>
      </w:r>
    </w:p>
    <w:p>
      <w:pPr>
        <w:pStyle w:val="FirstParagraph"/>
      </w:pPr>
      <w:r>
        <w:t xml:space="preserve">The most bullish outcome would combine an above-guide Q2 with evidence that demand remains healthy across</w:t>
      </w:r>
      <w:r>
        <w:t xml:space="preserve"> </w:t>
      </w:r>
      <w:r>
        <w:rPr>
          <w:b/>
          <w:bCs/>
        </w:rPr>
        <w:t xml:space="preserve">custom compute, merchant GPU, networking, HBM/DRAM, and AI-data-center power</w:t>
      </w:r>
      <w:r>
        <w:t xml:space="preserve">—rather than being driven by one or two concentrated programs.</w:t>
      </w:r>
    </w:p>
    <w:bookmarkEnd w:id="11"/>
    <w:bookmarkStart w:id="12" w:name="X15059212dba16254c3d817be56aef1f7badd84e"/>
    <w:p>
      <w:pPr>
        <w:pStyle w:val="Heading3"/>
      </w:pPr>
      <w:r>
        <w:t xml:space="preserve">Bear case: timing, concentration, and margin normalization matter</w:t>
      </w:r>
    </w:p>
    <w:p>
      <w:pPr>
        <w:pStyle w:val="FirstParagraph"/>
      </w:pPr>
      <w:r>
        <w:t xml:space="preserve">The main risk is not that AI demand disappears; it is that test-equipment demand proves highly</w:t>
      </w:r>
      <w:r>
        <w:t xml:space="preserve"> </w:t>
      </w:r>
      <w:r>
        <w:rPr>
          <w:b/>
          <w:bCs/>
        </w:rPr>
        <w:t xml:space="preserve">program-specific, acceptance-dependent, and uneven by quarter</w:t>
      </w:r>
      <w:r>
        <w:t xml:space="preserve">.</w:t>
      </w:r>
    </w:p>
    <w:p>
      <w:pPr>
        <w:pStyle w:val="BodyText"/>
      </w:pPr>
      <w:r>
        <w:t xml:space="preserve">Management explicitly cautioned that:</w:t>
      </w:r>
    </w:p>
    <w:p>
      <w:pPr>
        <w:pStyle w:val="Compact"/>
        <w:numPr>
          <w:ilvl w:val="0"/>
          <w:numId w:val="1003"/>
        </w:numPr>
      </w:pPr>
      <w:r>
        <w:t xml:space="preserve">AI-driven revenue is increasingly concentrated among a smaller number of large vertically integrated customers and large ASIC/device programs.</w:t>
      </w:r>
    </w:p>
    <w:p>
      <w:pPr>
        <w:pStyle w:val="Compact"/>
        <w:numPr>
          <w:ilvl w:val="0"/>
          <w:numId w:val="1003"/>
        </w:numPr>
      </w:pPr>
      <w:r>
        <w:t xml:space="preserve">Testers are ordered closer to device ramps than front-end wafer-fab equipment, limiting visibility.</w:t>
      </w:r>
    </w:p>
    <w:p>
      <w:pPr>
        <w:pStyle w:val="Compact"/>
        <w:numPr>
          <w:ilvl w:val="0"/>
          <w:numId w:val="1003"/>
        </w:numPr>
      </w:pPr>
      <w:r>
        <w:t xml:space="preserve">Tester acceptance can shift if other parts of a customer’s data-center supply chain are delayed.</w:t>
      </w:r>
    </w:p>
    <w:p>
      <w:pPr>
        <w:pStyle w:val="Compact"/>
        <w:numPr>
          <w:ilvl w:val="0"/>
          <w:numId w:val="1003"/>
        </w:numPr>
      </w:pPr>
      <w:r>
        <w:t xml:space="preserve">A first-silicon issue or change in program timing can delay a test-equipment ramp by multiple quarters without changing the long-term opportunity.</w:t>
      </w:r>
    </w:p>
    <w:p>
      <w:pPr>
        <w:pStyle w:val="FirstParagraph"/>
      </w:pPr>
      <w:r>
        <w:t xml:space="preserve">This matters especially for the second half. Management said it expected</w:t>
      </w:r>
      <w:r>
        <w:t xml:space="preserve"> </w:t>
      </w:r>
      <w:r>
        <w:rPr>
          <w:b/>
          <w:bCs/>
        </w:rPr>
        <w:t xml:space="preserve">55%–60% of annual revenue in 1H26</w:t>
      </w:r>
      <w:r>
        <w:t xml:space="preserve">, a wide range that reflects both continued strong demand signals and uncertainty around large-customer ordering patterns and AI-data-center buildout timing. Investors will want a much sharper read on whether the company is trending toward the favorable end of that range and whether 2H demand is now becoming more visible.</w:t>
      </w:r>
    </w:p>
    <w:p>
      <w:r>
        <w:pict>
          <v:rect style="width:0;height:1.5pt" o:hralign="center" o:hrstd="t" o:hr="t"/>
        </w:pict>
      </w:r>
    </w:p>
    <w:bookmarkEnd w:id="12"/>
    <w:bookmarkEnd w:id="13"/>
    <w:bookmarkStart w:id="20" w:name="what-matters-most-in-the-print-and-call"/>
    <w:p>
      <w:pPr>
        <w:pStyle w:val="Heading2"/>
      </w:pPr>
      <w:r>
        <w:t xml:space="preserve">What matters most in the print and call</w:t>
      </w:r>
    </w:p>
    <w:bookmarkStart w:id="14" w:name="Xe60b0804de51f3200ba30f44bda16b971856cca"/>
    <w:p>
      <w:pPr>
        <w:pStyle w:val="Heading3"/>
      </w:pPr>
      <w:r>
        <w:t xml:space="preserve">1. Revenue and EPS: beat quality matters more than the headline beat</w:t>
      </w:r>
    </w:p>
    <w:p>
      <w:pPr>
        <w:pStyle w:val="FirstParagraph"/>
      </w:pPr>
      <w:r>
        <w:t xml:space="preserve">A revenue and EPS beat should be expected to some degree given Teradyne’s recent ability to fulfill quick-turn demand and manage supply-chain execution. The more important question is</w:t>
      </w:r>
      <w:r>
        <w:t xml:space="preserve"> </w:t>
      </w:r>
      <w:r>
        <w:rPr>
          <w:b/>
          <w:bCs/>
        </w:rPr>
        <w:t xml:space="preserve">where the upside comes from</w:t>
      </w:r>
      <w:r>
        <w:t xml:space="preserve">:</w:t>
      </w:r>
    </w:p>
    <w:p>
      <w:pPr>
        <w:pStyle w:val="Compact"/>
        <w:numPr>
          <w:ilvl w:val="0"/>
          <w:numId w:val="1004"/>
        </w:numPr>
      </w:pPr>
      <w:r>
        <w:rPr>
          <w:b/>
          <w:bCs/>
        </w:rPr>
        <w:t xml:space="preserve">Constructive:</w:t>
      </w:r>
      <w:r>
        <w:t xml:space="preserve"> </w:t>
      </w:r>
      <w:r>
        <w:t xml:space="preserve">Broad strength in SoC compute, networking, memory, and Product Test; evidence of robust backlog/order conversion.</w:t>
      </w:r>
    </w:p>
    <w:p>
      <w:pPr>
        <w:pStyle w:val="Compact"/>
        <w:numPr>
          <w:ilvl w:val="0"/>
          <w:numId w:val="1004"/>
        </w:numPr>
      </w:pPr>
      <w:r>
        <w:rPr>
          <w:b/>
          <w:bCs/>
        </w:rPr>
        <w:t xml:space="preserve">Less constructive:</w:t>
      </w:r>
      <w:r>
        <w:t xml:space="preserve"> </w:t>
      </w:r>
      <w:r>
        <w:t xml:space="preserve">A narrow, late-quarter shipment or acceptance-driven beat that does not improve 2H visibility.</w:t>
      </w:r>
    </w:p>
    <w:bookmarkEnd w:id="14"/>
    <w:bookmarkStart w:id="15" w:name="Xa1d4d02a7c6784614d42e4dc08ee3088c041d3a"/>
    <w:p>
      <w:pPr>
        <w:pStyle w:val="Heading3"/>
      </w:pPr>
      <w:r>
        <w:t xml:space="preserve">2. Semiconductor Test: can it exceed the $1.041B expectation?</w:t>
      </w:r>
    </w:p>
    <w:p>
      <w:pPr>
        <w:pStyle w:val="FirstParagraph"/>
      </w:pPr>
      <w:r>
        <w:t xml:space="preserve">Semiconductor Test is the central earnings driver. In 1Q, the segment generated</w:t>
      </w:r>
      <w:r>
        <w:t xml:space="preserve"> </w:t>
      </w:r>
      <w:r>
        <w:rPr>
          <w:b/>
          <w:bCs/>
        </w:rPr>
        <w:t xml:space="preserve">$1.111 billion</w:t>
      </w:r>
      <w:r>
        <w:t xml:space="preserve"> </w:t>
      </w:r>
      <w:r>
        <w:t xml:space="preserve">of revenue, including approximately:</w:t>
      </w:r>
    </w:p>
    <w:p>
      <w:pPr>
        <w:pStyle w:val="Compact"/>
        <w:numPr>
          <w:ilvl w:val="0"/>
          <w:numId w:val="1005"/>
        </w:numPr>
      </w:pPr>
      <w:r>
        <w:rPr>
          <w:b/>
          <w:bCs/>
        </w:rPr>
        <w:t xml:space="preserve">SoC:</w:t>
      </w:r>
      <w:r>
        <w:t xml:space="preserve"> </w:t>
      </w:r>
      <w:r>
        <w:t xml:space="preserve">$883 million</w:t>
      </w:r>
    </w:p>
    <w:p>
      <w:pPr>
        <w:pStyle w:val="Compact"/>
        <w:numPr>
          <w:ilvl w:val="0"/>
          <w:numId w:val="1005"/>
        </w:numPr>
      </w:pPr>
      <w:r>
        <w:rPr>
          <w:b/>
          <w:bCs/>
        </w:rPr>
        <w:t xml:space="preserve">Memory:</w:t>
      </w:r>
      <w:r>
        <w:t xml:space="preserve"> </w:t>
      </w:r>
      <w:r>
        <w:t xml:space="preserve">$203 million</w:t>
      </w:r>
    </w:p>
    <w:p>
      <w:pPr>
        <w:pStyle w:val="Compact"/>
        <w:numPr>
          <w:ilvl w:val="0"/>
          <w:numId w:val="1005"/>
        </w:numPr>
      </w:pPr>
      <w:r>
        <w:rPr>
          <w:b/>
          <w:bCs/>
        </w:rPr>
        <w:t xml:space="preserve">Integrated Systems Test:</w:t>
      </w:r>
      <w:r>
        <w:t xml:space="preserve"> </w:t>
      </w:r>
      <w:r>
        <w:t xml:space="preserve">$27 million</w:t>
      </w:r>
    </w:p>
    <w:p>
      <w:pPr>
        <w:pStyle w:val="FirstParagraph"/>
      </w:pPr>
      <w:r>
        <w:t xml:space="preserve">Investors should look for commentary on the mix within SoC—particularly custom AI ASICs, merchant compute/GPU, networking, automotive/industrial power for AI data centers, and mobile. A healthy memory result would be particularly helpful, because management had indicated HBM/DRAM momentum could be stronger in the back half.</w:t>
      </w:r>
    </w:p>
    <w:bookmarkEnd w:id="15"/>
    <w:bookmarkStart w:id="16" w:name="X9f0330902c645cf3649fa190f0efe3e33ea9d62"/>
    <w:p>
      <w:pPr>
        <w:pStyle w:val="Heading3"/>
      </w:pPr>
      <w:r>
        <w:t xml:space="preserve">3. Gross margin: normalization is expected, but execution remains important</w:t>
      </w:r>
    </w:p>
    <w:p>
      <w:pPr>
        <w:pStyle w:val="FirstParagraph"/>
      </w:pPr>
      <w:r>
        <w:t xml:space="preserve">Management guided Q2 gross margin to</w:t>
      </w:r>
      <w:r>
        <w:t xml:space="preserve"> </w:t>
      </w:r>
      <w:r>
        <w:rPr>
          <w:b/>
          <w:bCs/>
        </w:rPr>
        <w:t xml:space="preserve">58%–59%</w:t>
      </w:r>
      <w:r>
        <w:t xml:space="preserve">, down from 1Q’s record</w:t>
      </w:r>
      <w:r>
        <w:t xml:space="preserve"> </w:t>
      </w:r>
      <w:r>
        <w:rPr>
          <w:b/>
          <w:bCs/>
        </w:rPr>
        <w:t xml:space="preserve">60.9%</w:t>
      </w:r>
      <w:r>
        <w:t xml:space="preserve">. About half of the expected sequential decline was attributed to nonrecurring operational benefits in 1Q, with the remainder tied to product mix normalization.</w:t>
      </w:r>
    </w:p>
    <w:p>
      <w:pPr>
        <w:pStyle w:val="BodyText"/>
      </w:pPr>
      <w:r>
        <w:t xml:space="preserve">Thus, a 58%-plus margin is not a negative by itself. The more important signals are:</w:t>
      </w:r>
    </w:p>
    <w:p>
      <w:pPr>
        <w:pStyle w:val="Compact"/>
        <w:numPr>
          <w:ilvl w:val="0"/>
          <w:numId w:val="1006"/>
        </w:numPr>
      </w:pPr>
      <w:r>
        <w:t xml:space="preserve">Whether gross margin lands at or above the high end of guidance;</w:t>
      </w:r>
    </w:p>
    <w:p>
      <w:pPr>
        <w:pStyle w:val="Compact"/>
        <w:numPr>
          <w:ilvl w:val="0"/>
          <w:numId w:val="1006"/>
        </w:numPr>
      </w:pPr>
      <w:r>
        <w:t xml:space="preserve">Whether management reiterates its</w:t>
      </w:r>
      <w:r>
        <w:t xml:space="preserve"> </w:t>
      </w:r>
      <w:r>
        <w:rPr>
          <w:b/>
          <w:bCs/>
        </w:rPr>
        <w:t xml:space="preserve">59%–61%</w:t>
      </w:r>
      <w:r>
        <w:t xml:space="preserve"> </w:t>
      </w:r>
      <w:r>
        <w:t xml:space="preserve">target-model range;</w:t>
      </w:r>
    </w:p>
    <w:p>
      <w:pPr>
        <w:pStyle w:val="Compact"/>
        <w:numPr>
          <w:ilvl w:val="0"/>
          <w:numId w:val="1006"/>
        </w:numPr>
      </w:pPr>
      <w:r>
        <w:t xml:space="preserve">Whether mix, pricing, ramp costs, or supply-chain factors imply pressure beyond the normal quarterly variability.</w:t>
      </w:r>
    </w:p>
    <w:bookmarkEnd w:id="16"/>
    <w:bookmarkStart w:id="17" w:name="Xb08ec7dc31d50102191ee072ac073e68b071ccf"/>
    <w:p>
      <w:pPr>
        <w:pStyle w:val="Heading3"/>
      </w:pPr>
      <w:r>
        <w:t xml:space="preserve">4. 2H26 outlook: the real catalyst</w:t>
      </w:r>
    </w:p>
    <w:p>
      <w:pPr>
        <w:pStyle w:val="FirstParagraph"/>
      </w:pPr>
      <w:r>
        <w:t xml:space="preserve">This will likely determine the stock’s reaction. Management previously described:</w:t>
      </w:r>
    </w:p>
    <w:p>
      <w:pPr>
        <w:pStyle w:val="Compact"/>
        <w:numPr>
          <w:ilvl w:val="0"/>
          <w:numId w:val="1007"/>
        </w:numPr>
      </w:pPr>
      <w:r>
        <w:rPr>
          <w:b/>
          <w:bCs/>
        </w:rPr>
        <w:t xml:space="preserve">VIP/custom compute:</w:t>
      </w:r>
      <w:r>
        <w:t xml:space="preserve"> </w:t>
      </w:r>
      <w:r>
        <w:t xml:space="preserve">strongly first-half weighted;</w:t>
      </w:r>
    </w:p>
    <w:p>
      <w:pPr>
        <w:pStyle w:val="Compact"/>
        <w:numPr>
          <w:ilvl w:val="0"/>
          <w:numId w:val="1007"/>
        </w:numPr>
      </w:pPr>
      <w:r>
        <w:rPr>
          <w:b/>
          <w:bCs/>
        </w:rPr>
        <w:t xml:space="preserve">Networking:</w:t>
      </w:r>
      <w:r>
        <w:t xml:space="preserve"> </w:t>
      </w:r>
      <w:r>
        <w:t xml:space="preserve">strong to begin the year, with less clear second-half visibility;</w:t>
      </w:r>
    </w:p>
    <w:p>
      <w:pPr>
        <w:pStyle w:val="Compact"/>
        <w:numPr>
          <w:ilvl w:val="0"/>
          <w:numId w:val="1007"/>
        </w:numPr>
      </w:pPr>
      <w:r>
        <w:rPr>
          <w:b/>
          <w:bCs/>
        </w:rPr>
        <w:t xml:space="preserve">Memory:</w:t>
      </w:r>
      <w:r>
        <w:t xml:space="preserve"> </w:t>
      </w:r>
      <w:r>
        <w:t xml:space="preserve">likely more back-half weighted;</w:t>
      </w:r>
    </w:p>
    <w:p>
      <w:pPr>
        <w:pStyle w:val="Compact"/>
        <w:numPr>
          <w:ilvl w:val="0"/>
          <w:numId w:val="1007"/>
        </w:numPr>
      </w:pPr>
      <w:r>
        <w:rPr>
          <w:b/>
          <w:bCs/>
        </w:rPr>
        <w:t xml:space="preserve">IST and Product Test:</w:t>
      </w:r>
      <w:r>
        <w:t xml:space="preserve"> </w:t>
      </w:r>
      <w:r>
        <w:t xml:space="preserve">expected to improve in the second half;</w:t>
      </w:r>
    </w:p>
    <w:p>
      <w:pPr>
        <w:pStyle w:val="Compact"/>
        <w:numPr>
          <w:ilvl w:val="0"/>
          <w:numId w:val="1007"/>
        </w:numPr>
      </w:pPr>
      <w:r>
        <w:rPr>
          <w:b/>
          <w:bCs/>
        </w:rPr>
        <w:t xml:space="preserve">Robotics:</w:t>
      </w:r>
      <w:r>
        <w:t xml:space="preserve"> </w:t>
      </w:r>
      <w:r>
        <w:t xml:space="preserve">normally seasonally stronger in the second half, although management remains cautious about forecasting beyond lead times.</w:t>
      </w:r>
    </w:p>
    <w:p>
      <w:pPr>
        <w:pStyle w:val="FirstParagraph"/>
      </w:pPr>
      <w:r>
        <w:t xml:space="preserve">A constructive earnings call would offer greater confidence that memory, networking, IST, Product Test, and Robotics can offset the expected moderation in first-half-weighted compute programs.</w:t>
      </w:r>
    </w:p>
    <w:bookmarkEnd w:id="17"/>
    <w:bookmarkStart w:id="18" w:name="Xf9f8c513bd4d8edfafabe49dcec15b029a476b6"/>
    <w:p>
      <w:pPr>
        <w:pStyle w:val="Heading3"/>
      </w:pPr>
      <w:r>
        <w:t xml:space="preserve">5. Merchant GPU progress: strategic proof point</w:t>
      </w:r>
    </w:p>
    <w:p>
      <w:pPr>
        <w:pStyle w:val="FirstParagraph"/>
      </w:pPr>
      <w:r>
        <w:t xml:space="preserve">Management has line of sight to roughly</w:t>
      </w:r>
      <w:r>
        <w:t xml:space="preserve"> </w:t>
      </w:r>
      <w:r>
        <w:rPr>
          <w:b/>
          <w:bCs/>
        </w:rPr>
        <w:t xml:space="preserve">$50 million of merchant-GPU revenue in 2026</w:t>
      </w:r>
      <w:r>
        <w:t xml:space="preserve">. That is not large relative to current consolidated revenue, but the strategic importance is much greater: successfully qualifying and ramping Teradyne’s platform at a merchant-GPU customer could unlock a multi-year share-gain path.</w:t>
      </w:r>
    </w:p>
    <w:p>
      <w:pPr>
        <w:pStyle w:val="BodyText"/>
      </w:pPr>
      <w:r>
        <w:t xml:space="preserve">Key questions:</w:t>
      </w:r>
    </w:p>
    <w:p>
      <w:pPr>
        <w:pStyle w:val="Compact"/>
        <w:numPr>
          <w:ilvl w:val="0"/>
          <w:numId w:val="1008"/>
        </w:numPr>
      </w:pPr>
      <w:r>
        <w:t xml:space="preserve">Did the initial production systems install and enter production as planned?</w:t>
      </w:r>
    </w:p>
    <w:p>
      <w:pPr>
        <w:pStyle w:val="Compact"/>
        <w:numPr>
          <w:ilvl w:val="0"/>
          <w:numId w:val="1008"/>
        </w:numPr>
      </w:pPr>
      <w:r>
        <w:t xml:space="preserve">Are “fast follower” GPU programs progressing toward late-2026 or 2027 production?</w:t>
      </w:r>
    </w:p>
    <w:p>
      <w:pPr>
        <w:pStyle w:val="Compact"/>
        <w:numPr>
          <w:ilvl w:val="0"/>
          <w:numId w:val="1008"/>
        </w:numPr>
      </w:pPr>
      <w:r>
        <w:t xml:space="preserve">Has Teradyne won additional SKUs, customers, or capacity allocations?</w:t>
      </w:r>
    </w:p>
    <w:p>
      <w:pPr>
        <w:pStyle w:val="Compact"/>
        <w:numPr>
          <w:ilvl w:val="0"/>
          <w:numId w:val="1008"/>
        </w:numPr>
      </w:pPr>
      <w:r>
        <w:t xml:space="preserve">Is management’s medium-term expectation of moving into a 30%–70% dual-source range becoming more credible?</w:t>
      </w:r>
    </w:p>
    <w:bookmarkEnd w:id="18"/>
    <w:bookmarkStart w:id="19" w:name="X1373c78762f5f649bd473fa1e60c3fc7d5fb60c"/>
    <w:p>
      <w:pPr>
        <w:pStyle w:val="Heading3"/>
      </w:pPr>
      <w:r>
        <w:t xml:space="preserve">6. Silicon photonics and CPO: watch for bookings, not near-term revenue</w:t>
      </w:r>
    </w:p>
    <w:p>
      <w:pPr>
        <w:pStyle w:val="FirstParagraph"/>
      </w:pPr>
      <w:r>
        <w:t xml:space="preserve">Photon100 and the company’s silicon-photonics positioning are important long-term differentiators. However, management has been clear that the market is early and that the split of investment among different test insertions remains uncertain.</w:t>
      </w:r>
    </w:p>
    <w:p>
      <w:pPr>
        <w:pStyle w:val="BodyText"/>
      </w:pPr>
      <w:r>
        <w:t xml:space="preserve">For this quarter, investors should focus on:</w:t>
      </w:r>
    </w:p>
    <w:p>
      <w:pPr>
        <w:pStyle w:val="Compact"/>
        <w:numPr>
          <w:ilvl w:val="0"/>
          <w:numId w:val="1009"/>
        </w:numPr>
      </w:pPr>
      <w:r>
        <w:t xml:space="preserve">Customer engagement and production qualifications;</w:t>
      </w:r>
    </w:p>
    <w:p>
      <w:pPr>
        <w:pStyle w:val="Compact"/>
        <w:numPr>
          <w:ilvl w:val="0"/>
          <w:numId w:val="1009"/>
        </w:numPr>
      </w:pPr>
      <w:r>
        <w:t xml:space="preserve">Design wins or initial production orders;</w:t>
      </w:r>
    </w:p>
    <w:p>
      <w:pPr>
        <w:pStyle w:val="Compact"/>
        <w:numPr>
          <w:ilvl w:val="0"/>
          <w:numId w:val="1009"/>
        </w:numPr>
      </w:pPr>
      <w:r>
        <w:t xml:space="preserve">Evidence that co-packaged optics is moving from lab work toward manufacturing ramps;</w:t>
      </w:r>
    </w:p>
    <w:p>
      <w:pPr>
        <w:pStyle w:val="Compact"/>
        <w:numPr>
          <w:ilvl w:val="0"/>
          <w:numId w:val="1009"/>
        </w:numPr>
      </w:pPr>
      <w:r>
        <w:t xml:space="preserve">Any updates to the medium-term TAM framework.</w:t>
      </w:r>
    </w:p>
    <w:p>
      <w:r>
        <w:pict>
          <v:rect style="width:0;height:1.5pt" o:hralign="center" o:hrstd="t" o:hr="t"/>
        </w:pict>
      </w:r>
    </w:p>
    <w:bookmarkEnd w:id="19"/>
    <w:bookmarkEnd w:id="20"/>
    <w:bookmarkStart w:id="24" w:name="additional-watch-items"/>
    <w:p>
      <w:pPr>
        <w:pStyle w:val="Heading2"/>
      </w:pPr>
      <w:r>
        <w:t xml:space="preserve">Additional watch items</w:t>
      </w:r>
    </w:p>
    <w:bookmarkStart w:id="21" w:name="robotics"/>
    <w:p>
      <w:pPr>
        <w:pStyle w:val="Heading3"/>
      </w:pPr>
      <w:r>
        <w:t xml:space="preserve">Robotics</w:t>
      </w:r>
    </w:p>
    <w:p>
      <w:pPr>
        <w:pStyle w:val="FirstParagraph"/>
      </w:pPr>
      <w:r>
        <w:t xml:space="preserve">Robotics has moved in the right direction, with four consecutive quarters of sequential growth through 1Q26. The business also underwent restructuring in 2025, so the market will look for proof that the improved trajectory is durable.</w:t>
      </w:r>
    </w:p>
    <w:p>
      <w:pPr>
        <w:pStyle w:val="BodyText"/>
      </w:pPr>
      <w:r>
        <w:t xml:space="preserve">Constructive indicators would include continued e-commerce, electronics-manufacturing, and semiconductor demand; better conversion of the sales funnel; and further AI-data-center-related deployments. Still, it is prudent not to overstate its near-term impact: Robotics was only</w:t>
      </w:r>
      <w:r>
        <w:t xml:space="preserve"> </w:t>
      </w:r>
      <w:r>
        <w:rPr>
          <w:b/>
          <w:bCs/>
        </w:rPr>
        <w:t xml:space="preserve">$91 million</w:t>
      </w:r>
      <w:r>
        <w:t xml:space="preserve"> </w:t>
      </w:r>
      <w:r>
        <w:t xml:space="preserve">of 1Q revenue.</w:t>
      </w:r>
    </w:p>
    <w:bookmarkEnd w:id="21"/>
    <w:bookmarkStart w:id="22" w:name="capital-allocation-and-ma"/>
    <w:p>
      <w:pPr>
        <w:pStyle w:val="Heading3"/>
      </w:pPr>
      <w:r>
        <w:t xml:space="preserve">Capital allocation and M&amp;A</w:t>
      </w:r>
    </w:p>
    <w:p>
      <w:pPr>
        <w:pStyle w:val="FirstParagraph"/>
      </w:pPr>
      <w:r>
        <w:t xml:space="preserve">Teradyne closed the MultiLane Test Products joint venture and acquired TestInsight during April. Combined, the transactions used approximately</w:t>
      </w:r>
      <w:r>
        <w:t xml:space="preserve"> </w:t>
      </w:r>
      <w:r>
        <w:rPr>
          <w:b/>
          <w:bCs/>
        </w:rPr>
        <w:t xml:space="preserve">$165 million</w:t>
      </w:r>
      <w:r>
        <w:t xml:space="preserve"> </w:t>
      </w:r>
      <w:r>
        <w:t xml:space="preserve">of cash in 2Q and were financed through the credit revolver. Investors should watch for:</w:t>
      </w:r>
    </w:p>
    <w:p>
      <w:pPr>
        <w:pStyle w:val="Compact"/>
        <w:numPr>
          <w:ilvl w:val="0"/>
          <w:numId w:val="1010"/>
        </w:numPr>
      </w:pPr>
      <w:r>
        <w:t xml:space="preserve">Initial revenue and integration commentary;</w:t>
      </w:r>
    </w:p>
    <w:p>
      <w:pPr>
        <w:pStyle w:val="Compact"/>
        <w:numPr>
          <w:ilvl w:val="0"/>
          <w:numId w:val="1010"/>
        </w:numPr>
      </w:pPr>
      <w:r>
        <w:t xml:space="preserve">Any changes to operating-expense expectations;</w:t>
      </w:r>
    </w:p>
    <w:p>
      <w:pPr>
        <w:pStyle w:val="Compact"/>
        <w:numPr>
          <w:ilvl w:val="0"/>
          <w:numId w:val="1010"/>
        </w:numPr>
      </w:pPr>
      <w:r>
        <w:t xml:space="preserve">The degree to which these assets strengthen test capabilities in high-speed I/O, data-center interconnect, and design-to-test software.</w:t>
      </w:r>
    </w:p>
    <w:bookmarkEnd w:id="22"/>
    <w:bookmarkStart w:id="23" w:name="customer-concentration"/>
    <w:p>
      <w:pPr>
        <w:pStyle w:val="Heading3"/>
      </w:pPr>
      <w:r>
        <w:t xml:space="preserve">Customer concentration</w:t>
      </w:r>
    </w:p>
    <w:p>
      <w:pPr>
        <w:pStyle w:val="FirstParagraph"/>
      </w:pPr>
      <w:r>
        <w:t xml:space="preserve">In 1Q, Teradyne had</w:t>
      </w:r>
      <w:r>
        <w:t xml:space="preserve"> </w:t>
      </w:r>
      <w:r>
        <w:rPr>
          <w:b/>
          <w:bCs/>
        </w:rPr>
        <w:t xml:space="preserve">two specifying customers and one purchasing customer</w:t>
      </w:r>
      <w:r>
        <w:t xml:space="preserve"> </w:t>
      </w:r>
      <w:r>
        <w:t xml:space="preserve">representing more than 10% of revenue. Concentration is a natural consequence of AI infrastructure spending, but it raises the importance of program timing and customer-specific commentary. Any discussion of an order deferral, acceptance delay, or supply-chain bottleneck at a major customer could move the shares disproportionately.</w:t>
      </w:r>
    </w:p>
    <w:p>
      <w:r>
        <w:pict>
          <v:rect style="width:0;height:1.5pt" o:hralign="center" o:hrstd="t" o:hr="t"/>
        </w:pict>
      </w:r>
    </w:p>
    <w:bookmarkEnd w:id="23"/>
    <w:bookmarkEnd w:id="24"/>
    <w:bookmarkStart w:id="28" w:name="earnings-scenarios"/>
    <w:p>
      <w:pPr>
        <w:pStyle w:val="Heading2"/>
      </w:pPr>
      <w:r>
        <w:t xml:space="preserve">Earnings scenarios</w:t>
      </w:r>
    </w:p>
    <w:bookmarkStart w:id="25" w:name="bullish-scenario"/>
    <w:p>
      <w:pPr>
        <w:pStyle w:val="Heading3"/>
      </w:pPr>
      <w:r>
        <w:t xml:space="preserve">Bullish scenario</w:t>
      </w:r>
    </w:p>
    <w:p>
      <w:pPr>
        <w:pStyle w:val="Compact"/>
        <w:numPr>
          <w:ilvl w:val="0"/>
          <w:numId w:val="1011"/>
        </w:numPr>
      </w:pPr>
      <w:r>
        <w:t xml:space="preserve">Revenue and EPS at or above the high end of guidance;</w:t>
      </w:r>
    </w:p>
    <w:p>
      <w:pPr>
        <w:pStyle w:val="Compact"/>
        <w:numPr>
          <w:ilvl w:val="0"/>
          <w:numId w:val="1011"/>
        </w:numPr>
      </w:pPr>
      <w:r>
        <w:t xml:space="preserve">Semiconductor Test materially ahead of the $1.041B expectation;</w:t>
      </w:r>
    </w:p>
    <w:p>
      <w:pPr>
        <w:pStyle w:val="Compact"/>
        <w:numPr>
          <w:ilvl w:val="0"/>
          <w:numId w:val="1011"/>
        </w:numPr>
      </w:pPr>
      <w:r>
        <w:t xml:space="preserve">Gross margin above the 58%–59% range or constructive full-year margin commentary;</w:t>
      </w:r>
    </w:p>
    <w:p>
      <w:pPr>
        <w:pStyle w:val="Compact"/>
        <w:numPr>
          <w:ilvl w:val="0"/>
          <w:numId w:val="1011"/>
        </w:numPr>
      </w:pPr>
      <w:r>
        <w:t xml:space="preserve">Stronger visibility into 2H, particularly in networking and memory;</w:t>
      </w:r>
    </w:p>
    <w:p>
      <w:pPr>
        <w:pStyle w:val="Compact"/>
        <w:numPr>
          <w:ilvl w:val="0"/>
          <w:numId w:val="1011"/>
        </w:numPr>
      </w:pPr>
      <w:r>
        <w:t xml:space="preserve">Clear merchant-GPU production progress and positive silicon-photonics design-win commentary.</w:t>
      </w:r>
    </w:p>
    <w:bookmarkEnd w:id="25"/>
    <w:bookmarkStart w:id="26" w:name="base-scenario"/>
    <w:p>
      <w:pPr>
        <w:pStyle w:val="Heading3"/>
      </w:pPr>
      <w:r>
        <w:t xml:space="preserve">Base scenario</w:t>
      </w:r>
    </w:p>
    <w:p>
      <w:pPr>
        <w:pStyle w:val="Compact"/>
        <w:numPr>
          <w:ilvl w:val="0"/>
          <w:numId w:val="1012"/>
        </w:numPr>
      </w:pPr>
      <w:r>
        <w:t xml:space="preserve">Revenue around</w:t>
      </w:r>
      <w:r>
        <w:t xml:space="preserve"> </w:t>
      </w:r>
      <m:oMath>
        <m:r>
          <m:t>1.20</m:t>
        </m:r>
        <m:r>
          <m:t>B</m:t>
        </m:r>
        <m:r>
          <m:rPr>
            <m:sty m:val="p"/>
          </m:rPr>
          <m:t>–</m:t>
        </m:r>
      </m:oMath>
      <w:r>
        <w:t xml:space="preserve">1.23B and EPS around $2.05;</w:t>
      </w:r>
    </w:p>
    <w:p>
      <w:pPr>
        <w:pStyle w:val="Compact"/>
        <w:numPr>
          <w:ilvl w:val="0"/>
          <w:numId w:val="1012"/>
        </w:numPr>
      </w:pPr>
      <w:r>
        <w:t xml:space="preserve">Gross margin near 58.5%;</w:t>
      </w:r>
    </w:p>
    <w:p>
      <w:pPr>
        <w:pStyle w:val="Compact"/>
        <w:numPr>
          <w:ilvl w:val="0"/>
          <w:numId w:val="1012"/>
        </w:numPr>
      </w:pPr>
      <w:r>
        <w:t xml:space="preserve">Management reiterates the strong full-year growth framework but remains guarded on 2H timing;</w:t>
      </w:r>
    </w:p>
    <w:p>
      <w:pPr>
        <w:pStyle w:val="Compact"/>
        <w:numPr>
          <w:ilvl w:val="0"/>
          <w:numId w:val="1012"/>
        </w:numPr>
      </w:pPr>
      <w:r>
        <w:t xml:space="preserve">Continued positive AI narrative, without a meaningful change in the cadence of orders or revenue.</w:t>
      </w:r>
    </w:p>
    <w:bookmarkEnd w:id="26"/>
    <w:bookmarkStart w:id="27" w:name="bearish-scenario"/>
    <w:p>
      <w:pPr>
        <w:pStyle w:val="Heading3"/>
      </w:pPr>
      <w:r>
        <w:t xml:space="preserve">Bearish scenario</w:t>
      </w:r>
    </w:p>
    <w:p>
      <w:pPr>
        <w:pStyle w:val="Compact"/>
        <w:numPr>
          <w:ilvl w:val="0"/>
          <w:numId w:val="1013"/>
        </w:numPr>
      </w:pPr>
      <w:r>
        <w:t xml:space="preserve">Results merely meet or fall short of the guided range;</w:t>
      </w:r>
    </w:p>
    <w:p>
      <w:pPr>
        <w:pStyle w:val="Compact"/>
        <w:numPr>
          <w:ilvl w:val="0"/>
          <w:numId w:val="1013"/>
        </w:numPr>
      </w:pPr>
      <w:r>
        <w:t xml:space="preserve">Weakness or deferrals in AI-compute tester acceptance;</w:t>
      </w:r>
    </w:p>
    <w:p>
      <w:pPr>
        <w:pStyle w:val="Compact"/>
        <w:numPr>
          <w:ilvl w:val="0"/>
          <w:numId w:val="1013"/>
        </w:numPr>
      </w:pPr>
      <w:r>
        <w:t xml:space="preserve">Gross margin below 58% or signs that mix is worse than expected;</w:t>
      </w:r>
    </w:p>
    <w:p>
      <w:pPr>
        <w:pStyle w:val="Compact"/>
        <w:numPr>
          <w:ilvl w:val="0"/>
          <w:numId w:val="1013"/>
        </w:numPr>
      </w:pPr>
      <w:r>
        <w:t xml:space="preserve">Further reduction in 2H visibility, especially if networking or custom-compute programs slip;</w:t>
      </w:r>
    </w:p>
    <w:p>
      <w:pPr>
        <w:pStyle w:val="Compact"/>
        <w:numPr>
          <w:ilvl w:val="0"/>
          <w:numId w:val="1013"/>
        </w:numPr>
      </w:pPr>
      <w:r>
        <w:t xml:space="preserve">Merchant-GPU ramp or Robotics trajectory proves slower than anticipated.</w:t>
      </w:r>
    </w:p>
    <w:p>
      <w:r>
        <w:pict>
          <v:rect style="width:0;height:1.5pt" o:hralign="center" o:hrstd="t" o:hr="t"/>
        </w:pict>
      </w:r>
    </w:p>
    <w:bookmarkEnd w:id="27"/>
    <w:bookmarkEnd w:id="28"/>
    <w:bookmarkStart w:id="30" w:name="investment-conclusion"/>
    <w:p>
      <w:pPr>
        <w:pStyle w:val="Heading2"/>
      </w:pPr>
      <w:r>
        <w:t xml:space="preserve">Investment conclusion</w:t>
      </w:r>
    </w:p>
    <w:p>
      <w:pPr>
        <w:pStyle w:val="FirstParagraph"/>
      </w:pPr>
      <w:r>
        <w:t xml:space="preserve">Teradyne remains one of the more direct ways to express AI infrastructure spending through semiconductor test, with additional long-duration options in memory, high-speed interconnect, silicon photonics, production-board test, and robotics. Its 1Q performance showed that the company can translate AI demand into powerful operating leverage.</w:t>
      </w:r>
    </w:p>
    <w:p>
      <w:pPr>
        <w:pStyle w:val="BodyText"/>
      </w:pPr>
      <w:r>
        <w:t xml:space="preserve">But this is now a</w:t>
      </w:r>
      <w:r>
        <w:t xml:space="preserve"> </w:t>
      </w:r>
      <w:r>
        <w:rPr>
          <w:b/>
          <w:bCs/>
        </w:rPr>
        <w:t xml:space="preserve">proof-of-duration</w:t>
      </w:r>
      <w:r>
        <w:t xml:space="preserve"> </w:t>
      </w:r>
      <w:r>
        <w:t xml:space="preserve">quarter, not simply a proof-of-demand quarter. The central issue is whether Q2 results demonstrate that the AI-driven opportunity is evolving from a first-half surge into a more diversified and visible multi-quarter growth cycle. A strong beat paired with better 2H visibility could re-establish momentum; an in-line result with vague commentary on timing could leave the stock vulnerable despite still-strong secular fundamentals.</w:t>
      </w:r>
    </w:p>
    <w:p>
      <w:r>
        <w:pict>
          <v:rect style="width:0;height:1.5pt" o:hralign="center" o:hrstd="t" o:hr="t"/>
        </w:pict>
      </w:r>
    </w:p>
    <w:bookmarkStart w:id="29" w:name="source-materials-reviewed"/>
    <w:p>
      <w:pPr>
        <w:pStyle w:val="Heading3"/>
      </w:pPr>
      <w:r>
        <w:t xml:space="preserve">Source materials reviewed</w:t>
      </w:r>
    </w:p>
    <w:p>
      <w:pPr>
        <w:pStyle w:val="Compact"/>
        <w:numPr>
          <w:ilvl w:val="0"/>
          <w:numId w:val="1014"/>
        </w:numPr>
      </w:pPr>
      <w:r>
        <w:t xml:space="preserve">Teradyne 1Q26 earnings release, issued April 28, 2026</w:t>
      </w:r>
    </w:p>
    <w:p>
      <w:pPr>
        <w:pStyle w:val="Compact"/>
        <w:numPr>
          <w:ilvl w:val="0"/>
          <w:numId w:val="1014"/>
        </w:numPr>
      </w:pPr>
      <w:r>
        <w:t xml:space="preserve">Teradyne 1Q26 earnings-call transcript, April 29, 2026</w:t>
      </w:r>
    </w:p>
    <w:p>
      <w:pPr>
        <w:pStyle w:val="Compact"/>
        <w:numPr>
          <w:ilvl w:val="0"/>
          <w:numId w:val="1014"/>
        </w:numPr>
      </w:pPr>
      <w:r>
        <w:t xml:space="preserve">Teradyne 1Q26 Form 10-Q</w:t>
      </w:r>
    </w:p>
    <w:p>
      <w:pPr>
        <w:pStyle w:val="Compact"/>
        <w:numPr>
          <w:ilvl w:val="0"/>
          <w:numId w:val="1014"/>
        </w:numPr>
      </w:pPr>
      <w:r>
        <w:t xml:space="preserve">TER market/news digest through July 27, 2026</w:t>
      </w:r>
    </w:p>
    <w:p>
      <w:pPr>
        <w:pStyle w:val="Compact"/>
        <w:numPr>
          <w:ilvl w:val="0"/>
          <w:numId w:val="1014"/>
        </w:numPr>
      </w:pPr>
      <w:r>
        <w:t xml:space="preserve">TER historical share-price data through July 27, 2026</w:t>
      </w:r>
    </w:p>
    <w:bookmarkEnd w:id="29"/>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2026-07-28T01:41:09Z</dcterms:created>
  <dcterms:modified xsi:type="dcterms:W3CDTF">2026-07-28T01:41:09Z</dcterms:modified>
</cp:coreProperties>
</file>

<file path=docProps/custom.xml><?xml version="1.0" encoding="utf-8"?>
<Properties xmlns="http://schemas.openxmlformats.org/officeDocument/2006/custom-properties" xmlns:vt="http://schemas.openxmlformats.org/officeDocument/2006/docPropsVTypes"/>
</file>