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Teradyne, Inc. (TER)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Teradyne, Inc.</w:t>
            </w:r>
          </w:p>
        </w:tc>
      </w:tr>
      <w:tr>
        <w:tc>
          <w:tcPr>
            <w:tcW w:type="dxa" w:w="4320"/>
          </w:tcPr>
          <w:p>
            <w:r>
              <w:rPr>
                <w:rFonts w:ascii="Calibri" w:hAnsi="Calibri"/>
                <w:b/>
                <w:sz w:val="22"/>
              </w:rPr>
              <w:t>Ticker</w:t>
            </w:r>
          </w:p>
        </w:tc>
        <w:tc>
          <w:tcPr>
            <w:tcW w:type="dxa" w:w="4320"/>
          </w:tcPr>
          <w:p>
            <w:r>
              <w:rPr>
                <w:rFonts w:ascii="Calibri" w:hAnsi="Calibri"/>
                <w:sz w:val="22"/>
              </w:rPr>
              <w:t>TER (NASDAQ)</w:t>
            </w:r>
          </w:p>
        </w:tc>
      </w:tr>
      <w:tr>
        <w:tc>
          <w:tcPr>
            <w:tcW w:type="dxa" w:w="4320"/>
          </w:tcPr>
          <w:p>
            <w:r>
              <w:rPr>
                <w:rFonts w:ascii="Calibri" w:hAnsi="Calibri"/>
                <w:b/>
                <w:sz w:val="22"/>
              </w:rPr>
              <w:t>Upcoming Earnings Date</w:t>
            </w:r>
          </w:p>
        </w:tc>
        <w:tc>
          <w:tcPr>
            <w:tcW w:type="dxa" w:w="4320"/>
          </w:tcPr>
          <w:p>
            <w:r>
              <w:rPr>
                <w:rFonts w:ascii="Calibri" w:hAnsi="Calibri"/>
                <w:sz w:val="22"/>
              </w:rPr>
              <w:t>July 29, 2026 (After Market Close)</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Prepared Date</w:t>
            </w:r>
          </w:p>
        </w:tc>
        <w:tc>
          <w:tcPr>
            <w:tcW w:type="dxa" w:w="4320"/>
          </w:tcPr>
          <w:p>
            <w:r>
              <w:rPr>
                <w:rFonts w:ascii="Calibri" w:hAnsi="Calibri"/>
                <w:sz w:val="22"/>
              </w:rPr>
              <w:t>July 28, 2026</w:t>
            </w:r>
          </w:p>
        </w:tc>
      </w:tr>
      <w:tr>
        <w:tc>
          <w:tcPr>
            <w:tcW w:type="dxa" w:w="4320"/>
          </w:tcPr>
          <w:p>
            <w:r>
              <w:rPr>
                <w:rFonts w:ascii="Calibri" w:hAnsi="Calibri"/>
                <w:b/>
                <w:sz w:val="22"/>
              </w:rPr>
              <w:t>Last Earnings Date</w:t>
            </w:r>
          </w:p>
        </w:tc>
        <w:tc>
          <w:tcPr>
            <w:tcW w:type="dxa" w:w="4320"/>
          </w:tcPr>
          <w:p>
            <w:r>
              <w:rPr>
                <w:rFonts w:ascii="Calibri" w:hAnsi="Calibri"/>
                <w:sz w:val="22"/>
              </w:rPr>
              <w:t>April 28, 2026 (Q1 2026)</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Setup is mixed-to-cautious — consensus sits near the midpoint of management's own guidance range, the stock has already given back its post-Q1 gains, and the single biggest swing factor is whether VIP compute demand holds at the high end of the guided range or slips toward the low end on order lumpiness.</w:t>
      </w:r>
    </w:p>
    <w:p>
      <w:r>
        <w:rPr>
          <w:rFonts w:ascii="Calibri" w:hAnsi="Calibri"/>
          <w:b/>
          <w:color w:val="525866"/>
          <w:sz w:val="22"/>
        </w:rPr>
        <w:t xml:space="preserve">Bar: </w:t>
      </w:r>
      <w:r>
        <w:rPr>
          <w:rFonts w:ascii="Calibri" w:hAnsi="Calibri"/>
          <w:color w:val="525866"/>
          <w:sz w:val="22"/>
        </w:rPr>
        <w:t xml:space="preserve">Consensus revenue of ~$1.216B sits essentially at the midpoint of management's $1.15B–$1.25B guidance range, and non-GAAP EPS consensus of ~$2.05 is near the low end of the $1.86–$2.15 guided range — a bar that is neither stretched nor particularly easy. </w:t>
      </w:r>
      <w:r>
        <w:rPr>
          <w:rFonts w:ascii="Calibri" w:hAnsi="Calibri"/>
          <w:b/>
          <w:color w:val="525866"/>
          <w:sz w:val="22"/>
        </w:rPr>
        <w:t xml:space="preserve">Guidance/Tone: </w:t>
      </w:r>
      <w:r>
        <w:rPr>
          <w:rFonts w:ascii="Calibri" w:hAnsi="Calibri"/>
          <w:color w:val="525866"/>
          <w:sz w:val="22"/>
        </w:rPr>
        <w:t xml:space="preserve">Management's posture has been consistent since the April 28 print: confident on first-half demand (55%–60% of annual revenue), but explicitly flagging lumpiness risk in VIP compute (most first-half weighted) and limited second-half visibility. At the June 2 BofA conference, CEO Greg Smith introduced a more candid framing around networking share risk at the merchant GPU customer, acknowledging willingness to accept downside in networking in exchange for compute upside — a subtle but meaningful tone shift. </w:t>
      </w:r>
      <w:r>
        <w:rPr>
          <w:rFonts w:ascii="Calibri" w:hAnsi="Calibri"/>
          <w:b/>
          <w:color w:val="525866"/>
          <w:sz w:val="22"/>
        </w:rPr>
        <w:t xml:space="preserve">Estimate Trajectory: </w:t>
      </w:r>
      <w:r>
        <w:rPr>
          <w:rFonts w:ascii="Calibri" w:hAnsi="Calibri"/>
          <w:color w:val="525866"/>
          <w:sz w:val="22"/>
        </w:rPr>
        <w:t xml:space="preserve">Estimates for Q2 2026 have been essentially stable since the post-Q1 baseline (revenue consensus moved from ~$1.212B to ~$1.216B, EPS from ~$2.052 to ~$2.050), suggesting the Street has not materially revised up or down — a neutral setup with no cushion built in. </w:t>
      </w:r>
      <w:r>
        <w:rPr>
          <w:rFonts w:ascii="Calibri" w:hAnsi="Calibri"/>
          <w:b/>
          <w:color w:val="525866"/>
          <w:sz w:val="22"/>
        </w:rPr>
        <w:t xml:space="preserve">Stock Setup: </w:t>
      </w:r>
      <w:r>
        <w:rPr>
          <w:rFonts w:ascii="Calibri" w:hAnsi="Calibri"/>
          <w:color w:val="525866"/>
          <w:sz w:val="22"/>
        </w:rPr>
        <w:t xml:space="preserve">TER peaked at ~$484 on June 30 (indexed +27% from the April 28 close) before selling off sharply to ~$335 today (-12% vs. the pre-earnings close of $380), underperforming both SOXX and SPY since last earnings. The stock is no longer pricing in a beat; at ~$335, the forward P/E has compressed from the mid-40s toward the mid-30s, reducing the penalty for a miss but also limiting the upside on an in-line print. </w:t>
      </w:r>
      <w:r>
        <w:rPr>
          <w:rFonts w:ascii="Calibri" w:hAnsi="Calibri"/>
          <w:b/>
          <w:color w:val="525866"/>
          <w:sz w:val="22"/>
        </w:rPr>
        <w:t xml:space="preserve">Wildcard: </w:t>
      </w:r>
      <w:r>
        <w:rPr>
          <w:rFonts w:ascii="Calibri" w:hAnsi="Calibri"/>
          <w:color w:val="525866"/>
          <w:sz w:val="22"/>
        </w:rPr>
        <w:t>The single biggest wildcard is merchant GPU revenue recognition timing — management guided ~$50M for the full year with systems expected to ship, install, and enter production in Q2; any slip in customer acceptance or installation could push revenue into Q3 and disappoint on both revenue and mix.</w:t>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Consensus sits at the midpoint of guidance on revenue and near the low end on EPS — a manageable bar, but one that leaves little room for upside surprise. Revenue is the bigger swing factor given the wide guidance range ($100M spread); EPS leverage is high if revenue comes in at the top end.</w:t>
      </w:r>
    </w:p>
    <w:p>
      <w:pPr>
        <w:pStyle w:val="Heading3"/>
      </w:pPr>
      <w:r>
        <w:rPr>
          <w:rFonts w:ascii="Calibri" w:hAnsi="Calibri"/>
          <w:b/>
          <w:color w:val="3B4259"/>
          <w:sz w:val="24"/>
        </w:rPr>
        <w:t>Table 1 — Q2 2026 Current Quarter Snapshot (All Key KPIs)</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 (Last Qtr)</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Q2 2026 Guidance (Mgmt)</w:t>
            </w:r>
          </w:p>
        </w:tc>
        <w:tc>
          <w:tcPr>
            <w:tcW w:type="dxa" w:w="1234"/>
            <w:shd w:val="clear" w:color="auto" w:fill="3B4259"/>
          </w:tcPr>
          <w:p>
            <w:r>
              <w:rPr>
                <w:rFonts w:ascii="Calibri" w:hAnsi="Calibri"/>
                <w:b/>
                <w:color w:val="FFFFFF"/>
                <w:sz w:val="22"/>
              </w:rPr>
              <w:t>Consensus vs. Guidance Mid (%)</w:t>
            </w:r>
          </w:p>
        </w:tc>
      </w:tr>
      <w:tr>
        <w:tc>
          <w:tcPr>
            <w:tcW w:type="dxa" w:w="1234"/>
          </w:tcPr>
          <w:p>
            <w:r>
              <w:rPr>
                <w:rFonts w:ascii="Calibri" w:hAnsi="Calibri"/>
                <w:sz w:val="22"/>
              </w:rPr>
              <w:t>Net Revenue ($M)</w:t>
            </w:r>
          </w:p>
        </w:tc>
        <w:tc>
          <w:tcPr>
            <w:tcW w:type="dxa" w:w="1234"/>
          </w:tcPr>
          <w:p>
            <w:r>
              <w:rPr>
                <w:rFonts w:ascii="Calibri" w:hAnsi="Calibri"/>
                <w:sz w:val="22"/>
              </w:rPr>
              <w:t>$1,282.5</w:t>
            </w:r>
          </w:p>
        </w:tc>
        <w:tc>
          <w:tcPr>
            <w:tcW w:type="dxa" w:w="1234"/>
          </w:tcPr>
          <w:p>
            <w:r>
              <w:rPr>
                <w:rFonts w:ascii="Calibri" w:hAnsi="Calibri"/>
                <w:sz w:val="22"/>
              </w:rPr>
              <w:t>$651.8</w:t>
            </w:r>
          </w:p>
        </w:tc>
        <w:tc>
          <w:tcPr>
            <w:tcW w:type="dxa" w:w="1234"/>
          </w:tcPr>
          <w:p>
            <w:r>
              <w:rPr>
                <w:rFonts w:ascii="Calibri" w:hAnsi="Calibri"/>
                <w:sz w:val="22"/>
              </w:rPr>
              <w:t>$1,215.6</w:t>
            </w:r>
          </w:p>
        </w:tc>
        <w:tc>
          <w:tcPr>
            <w:tcW w:type="dxa" w:w="1234"/>
          </w:tcPr>
          <w:p>
            <w:r>
              <w:rPr>
                <w:rFonts w:ascii="Calibri" w:hAnsi="Calibri"/>
                <w:sz w:val="22"/>
              </w:rPr>
              <w:t>+86.5%</w:t>
            </w:r>
          </w:p>
        </w:tc>
        <w:tc>
          <w:tcPr>
            <w:tcW w:type="dxa" w:w="1234"/>
          </w:tcPr>
          <w:p>
            <w:r>
              <w:rPr>
                <w:rFonts w:ascii="Calibri" w:hAnsi="Calibri"/>
                <w:sz w:val="22"/>
              </w:rPr>
              <w:t>$1,150–$1,250 ($1,200 mid)</w:t>
            </w:r>
          </w:p>
        </w:tc>
        <w:tc>
          <w:tcPr>
            <w:tcW w:type="dxa" w:w="1234"/>
          </w:tcPr>
          <w:p>
            <w:r>
              <w:rPr>
                <w:rFonts w:ascii="Calibri" w:hAnsi="Calibri"/>
                <w:sz w:val="22"/>
              </w:rPr>
              <w:t>+1.3%</w:t>
            </w:r>
          </w:p>
        </w:tc>
      </w:tr>
      <w:tr>
        <w:tc>
          <w:tcPr>
            <w:tcW w:type="dxa" w:w="1234"/>
          </w:tcPr>
          <w:p>
            <w:r>
              <w:rPr>
                <w:rFonts w:ascii="Calibri" w:hAnsi="Calibri"/>
                <w:sz w:val="22"/>
              </w:rPr>
              <w:t>Non-GAAP Gross Profit ($M)</w:t>
            </w:r>
          </w:p>
        </w:tc>
        <w:tc>
          <w:tcPr>
            <w:tcW w:type="dxa" w:w="1234"/>
          </w:tcPr>
          <w:p>
            <w:r>
              <w:rPr>
                <w:rFonts w:ascii="Calibri" w:hAnsi="Calibri"/>
                <w:sz w:val="22"/>
              </w:rPr>
              <w:t>$781.0</w:t>
            </w:r>
          </w:p>
        </w:tc>
        <w:tc>
          <w:tcPr>
            <w:tcW w:type="dxa" w:w="1234"/>
          </w:tcPr>
          <w:p>
            <w:r>
              <w:rPr>
                <w:rFonts w:ascii="Calibri" w:hAnsi="Calibri"/>
                <w:sz w:val="22"/>
              </w:rPr>
              <w:t>$373.3</w:t>
            </w:r>
          </w:p>
        </w:tc>
        <w:tc>
          <w:tcPr>
            <w:tcW w:type="dxa" w:w="1234"/>
          </w:tcPr>
          <w:p>
            <w:r>
              <w:rPr>
                <w:rFonts w:ascii="Calibri" w:hAnsi="Calibri"/>
                <w:sz w:val="22"/>
              </w:rPr>
              <w:t>$713.3</w:t>
            </w:r>
          </w:p>
        </w:tc>
        <w:tc>
          <w:tcPr>
            <w:tcW w:type="dxa" w:w="1234"/>
          </w:tcPr>
          <w:p>
            <w:r>
              <w:rPr>
                <w:rFonts w:ascii="Calibri" w:hAnsi="Calibri"/>
                <w:sz w:val="22"/>
              </w:rPr>
              <w:t>+91.1%</w:t>
            </w:r>
          </w:p>
        </w:tc>
        <w:tc>
          <w:tcPr>
            <w:tcW w:type="dxa" w:w="1234"/>
          </w:tcPr>
          <w:p>
            <w:r>
              <w:rPr>
                <w:rFonts w:ascii="Calibri" w:hAnsi="Calibri"/>
                <w:sz w:val="22"/>
              </w:rPr>
              <w:t>58%–59% GM (implied ~$700–$738M)</w:t>
            </w:r>
          </w:p>
        </w:tc>
        <w:tc>
          <w:tcPr>
            <w:tcW w:type="dxa" w:w="1234"/>
          </w:tcPr>
          <w:p>
            <w:r>
              <w:rPr>
                <w:rFonts w:ascii="Calibri" w:hAnsi="Calibri"/>
                <w:sz w:val="22"/>
              </w:rPr>
              <w:t>+1.9%</w:t>
            </w:r>
          </w:p>
        </w:tc>
      </w:tr>
      <w:tr>
        <w:tc>
          <w:tcPr>
            <w:tcW w:type="dxa" w:w="1234"/>
          </w:tcPr>
          <w:p>
            <w:r>
              <w:rPr>
                <w:rFonts w:ascii="Calibri" w:hAnsi="Calibri"/>
                <w:sz w:val="22"/>
              </w:rPr>
              <w:t>Non-GAAP Operating Income ($M)</w:t>
            </w:r>
          </w:p>
        </w:tc>
        <w:tc>
          <w:tcPr>
            <w:tcW w:type="dxa" w:w="1234"/>
          </w:tcPr>
          <w:p>
            <w:r>
              <w:rPr>
                <w:rFonts w:ascii="Calibri" w:hAnsi="Calibri"/>
                <w:sz w:val="22"/>
              </w:rPr>
              <w:t>$480.4</w:t>
            </w:r>
          </w:p>
        </w:tc>
        <w:tc>
          <w:tcPr>
            <w:tcW w:type="dxa" w:w="1234"/>
          </w:tcPr>
          <w:p>
            <w:r>
              <w:rPr>
                <w:rFonts w:ascii="Calibri" w:hAnsi="Calibri"/>
                <w:sz w:val="22"/>
              </w:rPr>
              <w:t>$98.2</w:t>
            </w:r>
          </w:p>
        </w:tc>
        <w:tc>
          <w:tcPr>
            <w:tcW w:type="dxa" w:w="1234"/>
          </w:tcPr>
          <w:p>
            <w:r>
              <w:rPr>
                <w:rFonts w:ascii="Calibri" w:hAnsi="Calibri"/>
                <w:sz w:val="22"/>
              </w:rPr>
              <w:t>$386.9</w:t>
            </w:r>
          </w:p>
        </w:tc>
        <w:tc>
          <w:tcPr>
            <w:tcW w:type="dxa" w:w="1234"/>
          </w:tcPr>
          <w:p>
            <w:r>
              <w:rPr>
                <w:rFonts w:ascii="Calibri" w:hAnsi="Calibri"/>
                <w:sz w:val="22"/>
              </w:rPr>
              <w:t>+294.0%</w:t>
            </w:r>
          </w:p>
        </w:tc>
        <w:tc>
          <w:tcPr>
            <w:tcW w:type="dxa" w:w="1234"/>
          </w:tcPr>
          <w:p>
            <w:r>
              <w:rPr>
                <w:rFonts w:ascii="Calibri" w:hAnsi="Calibri"/>
                <w:sz w:val="22"/>
              </w:rPr>
              <w:t>30%–32% op. margin (implied ~$360–$400M)</w:t>
            </w:r>
          </w:p>
        </w:tc>
        <w:tc>
          <w:tcPr>
            <w:tcW w:type="dxa" w:w="1234"/>
          </w:tcPr>
          <w:p>
            <w:r>
              <w:rPr>
                <w:rFonts w:ascii="Calibri" w:hAnsi="Calibri"/>
                <w:sz w:val="22"/>
              </w:rPr>
              <w:t>-2.0%</w:t>
            </w:r>
          </w:p>
        </w:tc>
      </w:tr>
      <w:tr>
        <w:tc>
          <w:tcPr>
            <w:tcW w:type="dxa" w:w="1234"/>
          </w:tcPr>
          <w:p>
            <w:r>
              <w:rPr>
                <w:rFonts w:ascii="Calibri" w:hAnsi="Calibri"/>
                <w:sz w:val="22"/>
              </w:rPr>
              <w:t>Non-GAAP EPS — Diluted ($)</w:t>
            </w:r>
          </w:p>
        </w:tc>
        <w:tc>
          <w:tcPr>
            <w:tcW w:type="dxa" w:w="1234"/>
          </w:tcPr>
          <w:p>
            <w:r>
              <w:rPr>
                <w:rFonts w:ascii="Calibri" w:hAnsi="Calibri"/>
                <w:sz w:val="22"/>
              </w:rPr>
              <w:t>$2.56</w:t>
            </w:r>
          </w:p>
        </w:tc>
        <w:tc>
          <w:tcPr>
            <w:tcW w:type="dxa" w:w="1234"/>
          </w:tcPr>
          <w:p>
            <w:r>
              <w:rPr>
                <w:rFonts w:ascii="Calibri" w:hAnsi="Calibri"/>
                <w:sz w:val="22"/>
              </w:rPr>
              <w:t>$0.57</w:t>
            </w:r>
          </w:p>
        </w:tc>
        <w:tc>
          <w:tcPr>
            <w:tcW w:type="dxa" w:w="1234"/>
          </w:tcPr>
          <w:p>
            <w:r>
              <w:rPr>
                <w:rFonts w:ascii="Calibri" w:hAnsi="Calibri"/>
                <w:sz w:val="22"/>
              </w:rPr>
              <w:t>$2.05</w:t>
            </w:r>
          </w:p>
        </w:tc>
        <w:tc>
          <w:tcPr>
            <w:tcW w:type="dxa" w:w="1234"/>
          </w:tcPr>
          <w:p>
            <w:r>
              <w:rPr>
                <w:rFonts w:ascii="Calibri" w:hAnsi="Calibri"/>
                <w:sz w:val="22"/>
              </w:rPr>
              <w:t>+259.6%</w:t>
            </w:r>
          </w:p>
        </w:tc>
        <w:tc>
          <w:tcPr>
            <w:tcW w:type="dxa" w:w="1234"/>
          </w:tcPr>
          <w:p>
            <w:r>
              <w:rPr>
                <w:rFonts w:ascii="Calibri" w:hAnsi="Calibri"/>
                <w:sz w:val="22"/>
              </w:rPr>
              <w:t>$1.86–$2.15 ($2.005 mid)</w:t>
            </w:r>
          </w:p>
        </w:tc>
        <w:tc>
          <w:tcPr>
            <w:tcW w:type="dxa" w:w="1234"/>
          </w:tcPr>
          <w:p>
            <w:r>
              <w:rPr>
                <w:rFonts w:ascii="Calibri" w:hAnsi="Calibri"/>
                <w:sz w:val="22"/>
              </w:rPr>
              <w:t>+2.2%</w:t>
            </w:r>
          </w:p>
        </w:tc>
      </w:tr>
      <w:tr>
        <w:tc>
          <w:tcPr>
            <w:tcW w:type="dxa" w:w="1234"/>
          </w:tcPr>
          <w:p>
            <w:r>
              <w:rPr>
                <w:rFonts w:ascii="Calibri" w:hAnsi="Calibri"/>
                <w:sz w:val="22"/>
              </w:rPr>
              <w:t>Semiconductor Test Revenue ($M)</w:t>
            </w:r>
          </w:p>
        </w:tc>
        <w:tc>
          <w:tcPr>
            <w:tcW w:type="dxa" w:w="1234"/>
          </w:tcPr>
          <w:p>
            <w:r>
              <w:rPr>
                <w:rFonts w:ascii="Calibri" w:hAnsi="Calibri"/>
                <w:sz w:val="22"/>
              </w:rPr>
              <w:t>$1,111.0</w:t>
            </w:r>
          </w:p>
        </w:tc>
        <w:tc>
          <w:tcPr>
            <w:tcW w:type="dxa" w:w="1234"/>
          </w:tcPr>
          <w:p>
            <w:r>
              <w:rPr>
                <w:rFonts w:ascii="Calibri" w:hAnsi="Calibri"/>
                <w:sz w:val="22"/>
              </w:rPr>
              <w:t>$491.9</w:t>
            </w:r>
          </w:p>
        </w:tc>
        <w:tc>
          <w:tcPr>
            <w:tcW w:type="dxa" w:w="1234"/>
          </w:tcPr>
          <w:p>
            <w:r>
              <w:rPr>
                <w:rFonts w:ascii="Calibri" w:hAnsi="Calibri"/>
                <w:sz w:val="22"/>
              </w:rPr>
              <w:t>$1,042.0</w:t>
            </w:r>
          </w:p>
        </w:tc>
        <w:tc>
          <w:tcPr>
            <w:tcW w:type="dxa" w:w="1234"/>
          </w:tcPr>
          <w:p>
            <w:r>
              <w:rPr>
                <w:rFonts w:ascii="Calibri" w:hAnsi="Calibri"/>
                <w:sz w:val="22"/>
              </w:rPr>
              <w:t>+111.8%</w:t>
            </w:r>
          </w:p>
        </w:tc>
        <w:tc>
          <w:tcPr>
            <w:tcW w:type="dxa" w:w="1234"/>
          </w:tcPr>
          <w:p>
            <w:r>
              <w:rPr>
                <w:rFonts w:ascii="Calibri" w:hAnsi="Calibri"/>
                <w:sz w:val="22"/>
              </w:rPr>
              <w:t>N/A (segment not separately guided)</w:t>
            </w:r>
          </w:p>
        </w:tc>
        <w:tc>
          <w:tcPr>
            <w:tcW w:type="dxa" w:w="1234"/>
          </w:tcPr>
          <w:p>
            <w:r>
              <w:rPr>
                <w:rFonts w:ascii="Calibri" w:hAnsi="Calibri"/>
                <w:sz w:val="22"/>
              </w:rPr>
              <w:t>N/A</w:t>
            </w:r>
          </w:p>
        </w:tc>
      </w:tr>
      <w:tr>
        <w:tc>
          <w:tcPr>
            <w:tcW w:type="dxa" w:w="1234"/>
          </w:tcPr>
          <w:p>
            <w:r>
              <w:rPr>
                <w:rFonts w:ascii="Calibri" w:hAnsi="Calibri"/>
                <w:sz w:val="22"/>
              </w:rPr>
              <w:t>SoC Test Revenue ($M)</w:t>
            </w:r>
          </w:p>
        </w:tc>
        <w:tc>
          <w:tcPr>
            <w:tcW w:type="dxa" w:w="1234"/>
          </w:tcPr>
          <w:p>
            <w:r>
              <w:rPr>
                <w:rFonts w:ascii="Calibri" w:hAnsi="Calibri"/>
                <w:sz w:val="22"/>
              </w:rPr>
              <w:t>$881.5</w:t>
            </w:r>
          </w:p>
        </w:tc>
        <w:tc>
          <w:tcPr>
            <w:tcW w:type="dxa" w:w="1234"/>
          </w:tcPr>
          <w:p>
            <w:r>
              <w:rPr>
                <w:rFonts w:ascii="Calibri" w:hAnsi="Calibri"/>
                <w:sz w:val="22"/>
              </w:rPr>
              <w:t>$396.6</w:t>
            </w:r>
          </w:p>
        </w:tc>
        <w:tc>
          <w:tcPr>
            <w:tcW w:type="dxa" w:w="1234"/>
          </w:tcPr>
          <w:p>
            <w:r>
              <w:rPr>
                <w:rFonts w:ascii="Calibri" w:hAnsi="Calibri"/>
                <w:sz w:val="22"/>
              </w:rPr>
              <w:t>$813.0</w:t>
            </w:r>
          </w:p>
        </w:tc>
        <w:tc>
          <w:tcPr>
            <w:tcW w:type="dxa" w:w="1234"/>
          </w:tcPr>
          <w:p>
            <w:r>
              <w:rPr>
                <w:rFonts w:ascii="Calibri" w:hAnsi="Calibri"/>
                <w:sz w:val="22"/>
              </w:rPr>
              <w:t>+105.0%</w:t>
            </w:r>
          </w:p>
        </w:tc>
        <w:tc>
          <w:tcPr>
            <w:tcW w:type="dxa" w:w="1234"/>
          </w:tcPr>
          <w:p>
            <w:r>
              <w:rPr>
                <w:rFonts w:ascii="Calibri" w:hAnsi="Calibri"/>
                <w:sz w:val="22"/>
              </w:rPr>
              <w:t>N/A</w:t>
            </w:r>
          </w:p>
        </w:tc>
        <w:tc>
          <w:tcPr>
            <w:tcW w:type="dxa" w:w="1234"/>
          </w:tcPr>
          <w:p>
            <w:r>
              <w:rPr>
                <w:rFonts w:ascii="Calibri" w:hAnsi="Calibri"/>
                <w:sz w:val="22"/>
              </w:rPr>
              <w:t>N/A</w:t>
            </w:r>
          </w:p>
        </w:tc>
      </w:tr>
      <w:tr>
        <w:tc>
          <w:tcPr>
            <w:tcW w:type="dxa" w:w="1234"/>
          </w:tcPr>
          <w:p>
            <w:r>
              <w:rPr>
                <w:rFonts w:ascii="Calibri" w:hAnsi="Calibri"/>
                <w:sz w:val="22"/>
              </w:rPr>
              <w:t>Memory Test Revenue ($M)</w:t>
            </w:r>
          </w:p>
        </w:tc>
        <w:tc>
          <w:tcPr>
            <w:tcW w:type="dxa" w:w="1234"/>
          </w:tcPr>
          <w:p>
            <w:r>
              <w:rPr>
                <w:rFonts w:ascii="Calibri" w:hAnsi="Calibri"/>
                <w:sz w:val="22"/>
              </w:rPr>
              <w:t>$203.0</w:t>
            </w:r>
          </w:p>
        </w:tc>
        <w:tc>
          <w:tcPr>
            <w:tcW w:type="dxa" w:w="1234"/>
          </w:tcPr>
          <w:p>
            <w:r>
              <w:rPr>
                <w:rFonts w:ascii="Calibri" w:hAnsi="Calibri"/>
                <w:sz w:val="22"/>
              </w:rPr>
              <w:t>$60.9</w:t>
            </w:r>
          </w:p>
        </w:tc>
        <w:tc>
          <w:tcPr>
            <w:tcW w:type="dxa" w:w="1234"/>
          </w:tcPr>
          <w:p>
            <w:r>
              <w:rPr>
                <w:rFonts w:ascii="Calibri" w:hAnsi="Calibri"/>
                <w:sz w:val="22"/>
              </w:rPr>
              <w:t>$187.3</w:t>
            </w:r>
          </w:p>
        </w:tc>
        <w:tc>
          <w:tcPr>
            <w:tcW w:type="dxa" w:w="1234"/>
          </w:tcPr>
          <w:p>
            <w:r>
              <w:rPr>
                <w:rFonts w:ascii="Calibri" w:hAnsi="Calibri"/>
                <w:sz w:val="22"/>
              </w:rPr>
              <w:t>+207.6%</w:t>
            </w:r>
          </w:p>
        </w:tc>
        <w:tc>
          <w:tcPr>
            <w:tcW w:type="dxa" w:w="1234"/>
          </w:tcPr>
          <w:p>
            <w:r>
              <w:rPr>
                <w:rFonts w:ascii="Calibri" w:hAnsi="Calibri"/>
                <w:sz w:val="22"/>
              </w:rPr>
              <w:t>N/A</w:t>
            </w:r>
          </w:p>
        </w:tc>
        <w:tc>
          <w:tcPr>
            <w:tcW w:type="dxa" w:w="1234"/>
          </w:tcPr>
          <w:p>
            <w:r>
              <w:rPr>
                <w:rFonts w:ascii="Calibri" w:hAnsi="Calibri"/>
                <w:sz w:val="22"/>
              </w:rPr>
              <w:t>N/A</w:t>
            </w:r>
          </w:p>
        </w:tc>
      </w:tr>
      <w:tr>
        <w:tc>
          <w:tcPr>
            <w:tcW w:type="dxa" w:w="1234"/>
          </w:tcPr>
          <w:p>
            <w:r>
              <w:rPr>
                <w:rFonts w:ascii="Calibri" w:hAnsi="Calibri"/>
                <w:sz w:val="22"/>
              </w:rPr>
              <w:t>Robotics Revenue ($M)</w:t>
            </w:r>
          </w:p>
        </w:tc>
        <w:tc>
          <w:tcPr>
            <w:tcW w:type="dxa" w:w="1234"/>
          </w:tcPr>
          <w:p>
            <w:r>
              <w:rPr>
                <w:rFonts w:ascii="Calibri" w:hAnsi="Calibri"/>
                <w:sz w:val="22"/>
              </w:rPr>
              <w:t>$91.0</w:t>
            </w:r>
          </w:p>
        </w:tc>
        <w:tc>
          <w:tcPr>
            <w:tcW w:type="dxa" w:w="1234"/>
          </w:tcPr>
          <w:p>
            <w:r>
              <w:rPr>
                <w:rFonts w:ascii="Calibri" w:hAnsi="Calibri"/>
                <w:sz w:val="22"/>
              </w:rPr>
              <w:t>$74.9</w:t>
            </w:r>
          </w:p>
        </w:tc>
        <w:tc>
          <w:tcPr>
            <w:tcW w:type="dxa" w:w="1234"/>
          </w:tcPr>
          <w:p>
            <w:r>
              <w:rPr>
                <w:rFonts w:ascii="Calibri" w:hAnsi="Calibri"/>
                <w:sz w:val="22"/>
              </w:rPr>
              <w:t>$87.7</w:t>
            </w:r>
          </w:p>
        </w:tc>
        <w:tc>
          <w:tcPr>
            <w:tcW w:type="dxa" w:w="1234"/>
          </w:tcPr>
          <w:p>
            <w:r>
              <w:rPr>
                <w:rFonts w:ascii="Calibri" w:hAnsi="Calibri"/>
                <w:sz w:val="22"/>
              </w:rPr>
              <w:t>+17.1%</w:t>
            </w:r>
          </w:p>
        </w:tc>
        <w:tc>
          <w:tcPr>
            <w:tcW w:type="dxa" w:w="1234"/>
          </w:tcPr>
          <w:p>
            <w:r>
              <w:rPr>
                <w:rFonts w:ascii="Calibri" w:hAnsi="Calibri"/>
                <w:sz w:val="22"/>
              </w:rPr>
              <w:t>N/A</w:t>
            </w:r>
          </w:p>
        </w:tc>
        <w:tc>
          <w:tcPr>
            <w:tcW w:type="dxa" w:w="1234"/>
          </w:tcPr>
          <w:p>
            <w:r>
              <w:rPr>
                <w:rFonts w:ascii="Calibri" w:hAnsi="Calibri"/>
                <w:sz w:val="22"/>
              </w:rPr>
              <w:t>N/A</w:t>
            </w:r>
          </w:p>
        </w:tc>
      </w:tr>
      <w:tr>
        <w:tc>
          <w:tcPr>
            <w:tcW w:type="dxa" w:w="1234"/>
          </w:tcPr>
          <w:p>
            <w:r>
              <w:rPr>
                <w:rFonts w:ascii="Calibri" w:hAnsi="Calibri"/>
                <w:sz w:val="22"/>
              </w:rPr>
              <w:t>System Test Revenue ($M)</w:t>
            </w:r>
          </w:p>
        </w:tc>
        <w:tc>
          <w:tcPr>
            <w:tcW w:type="dxa" w:w="1234"/>
          </w:tcPr>
          <w:p>
            <w:r>
              <w:rPr>
                <w:rFonts w:ascii="Calibri" w:hAnsi="Calibri"/>
                <w:sz w:val="22"/>
              </w:rPr>
              <w:t>$48.5</w:t>
            </w:r>
          </w:p>
        </w:tc>
        <w:tc>
          <w:tcPr>
            <w:tcW w:type="dxa" w:w="1234"/>
          </w:tcPr>
          <w:p>
            <w:r>
              <w:rPr>
                <w:rFonts w:ascii="Calibri" w:hAnsi="Calibri"/>
                <w:sz w:val="22"/>
              </w:rPr>
              <w:t>$45.9</w:t>
            </w:r>
          </w:p>
        </w:tc>
        <w:tc>
          <w:tcPr>
            <w:tcW w:type="dxa" w:w="1234"/>
          </w:tcPr>
          <w:p>
            <w:r>
              <w:rPr>
                <w:rFonts w:ascii="Calibri" w:hAnsi="Calibri"/>
                <w:sz w:val="22"/>
              </w:rPr>
              <w:t>$49.7</w:t>
            </w:r>
          </w:p>
        </w:tc>
        <w:tc>
          <w:tcPr>
            <w:tcW w:type="dxa" w:w="1234"/>
          </w:tcPr>
          <w:p>
            <w:r>
              <w:rPr>
                <w:rFonts w:ascii="Calibri" w:hAnsi="Calibri"/>
                <w:sz w:val="22"/>
              </w:rPr>
              <w:t>+8.3%</w:t>
            </w:r>
          </w:p>
        </w:tc>
        <w:tc>
          <w:tcPr>
            <w:tcW w:type="dxa" w:w="1234"/>
          </w:tcPr>
          <w:p>
            <w:r>
              <w:rPr>
                <w:rFonts w:ascii="Calibri" w:hAnsi="Calibri"/>
                <w:sz w:val="22"/>
              </w:rPr>
              <w:t>N/A</w:t>
            </w:r>
          </w:p>
        </w:tc>
        <w:tc>
          <w:tcPr>
            <w:tcW w:type="dxa" w:w="1234"/>
          </w:tcPr>
          <w:p>
            <w:r>
              <w:rPr>
                <w:rFonts w:ascii="Calibri" w:hAnsi="Calibri"/>
                <w:sz w:val="22"/>
              </w:rPr>
              <w:t>N/A</w:t>
            </w:r>
          </w:p>
        </w:tc>
      </w:tr>
    </w:tbl>
    <w:p>
      <w:r>
        <w:rPr>
          <w:rFonts w:ascii="Calibri" w:hAnsi="Calibri"/>
          <w:color w:val="525866"/>
          <w:sz w:val="22"/>
        </w:rPr>
        <w:t>Source: Visible Alpha Consensus and Actuals Data. All consensus figures as of July 28, 2026. Guidance from Q1 2026 earnings call (April 28, 2026).</w:t>
      </w:r>
    </w:p>
    <w:p>
      <w:pPr>
        <w:pStyle w:val="Heading3"/>
      </w:pPr>
      <w:r>
        <w:rPr>
          <w:rFonts w:ascii="Calibri" w:hAnsi="Calibri"/>
          <w:b/>
          <w:color w:val="3B4259"/>
          <w:sz w:val="24"/>
        </w:rPr>
        <w:t>Table 2 — Beat/Miss History: Last 8 Quarters (Top 2 KPIs: Net Revenue &amp; Non-GAAP EPS)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 Est.</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Q1 2026</w:t>
            </w:r>
          </w:p>
        </w:tc>
        <w:tc>
          <w:tcPr>
            <w:tcW w:type="dxa" w:w="1440"/>
          </w:tcPr>
          <w:p>
            <w:r>
              <w:rPr>
                <w:rFonts w:ascii="Calibri" w:hAnsi="Calibri"/>
                <w:sz w:val="22"/>
              </w:rPr>
              <w:t>Revenue ($M)</w:t>
            </w:r>
          </w:p>
        </w:tc>
        <w:tc>
          <w:tcPr>
            <w:tcW w:type="dxa" w:w="1440"/>
          </w:tcPr>
          <w:p>
            <w:r>
              <w:rPr>
                <w:rFonts w:ascii="Calibri" w:hAnsi="Calibri"/>
                <w:sz w:val="22"/>
              </w:rPr>
              <w:t>$1,282.5</w:t>
            </w:r>
          </w:p>
        </w:tc>
        <w:tc>
          <w:tcPr>
            <w:tcW w:type="dxa" w:w="1440"/>
          </w:tcPr>
          <w:p>
            <w:r>
              <w:rPr>
                <w:rFonts w:ascii="Calibri" w:hAnsi="Calibri"/>
                <w:sz w:val="22"/>
              </w:rPr>
              <w:t>$1,214.7</w:t>
            </w:r>
          </w:p>
        </w:tc>
        <w:tc>
          <w:tcPr>
            <w:tcW w:type="dxa" w:w="1440"/>
          </w:tcPr>
          <w:p>
            <w:r>
              <w:rPr>
                <w:rFonts w:ascii="Calibri" w:hAnsi="Calibri"/>
                <w:b/>
                <w:color w:val="30A46C"/>
                <w:sz w:val="22"/>
              </w:rPr>
              <w:t>+5.6%</w:t>
            </w:r>
          </w:p>
        </w:tc>
        <w:tc>
          <w:tcPr>
            <w:tcW w:type="dxa" w:w="1440"/>
          </w:tcPr>
          <w:p>
            <w:r>
              <w:rPr>
                <w:rFonts w:ascii="Calibri" w:hAnsi="Calibri"/>
                <w:b/>
                <w:sz w:val="22"/>
              </w:rPr>
              <w:t>Beat</w:t>
            </w:r>
          </w:p>
        </w:tc>
      </w:tr>
      <w:tr>
        <w:tc>
          <w:tcPr>
            <w:tcW w:type="dxa" w:w="1440"/>
          </w:tcPr>
          <w:p>
            <w:r>
              <w:rPr>
                <w:rFonts w:ascii="Calibri" w:hAnsi="Calibri"/>
                <w:sz w:val="22"/>
              </w:rPr>
              <w:t>Q1 2026</w:t>
            </w:r>
          </w:p>
        </w:tc>
        <w:tc>
          <w:tcPr>
            <w:tcW w:type="dxa" w:w="1440"/>
          </w:tcPr>
          <w:p>
            <w:r>
              <w:rPr>
                <w:rFonts w:ascii="Calibri" w:hAnsi="Calibri"/>
                <w:sz w:val="22"/>
              </w:rPr>
              <w:t>Non-GAAP EPS ($)</w:t>
            </w:r>
          </w:p>
        </w:tc>
        <w:tc>
          <w:tcPr>
            <w:tcW w:type="dxa" w:w="1440"/>
          </w:tcPr>
          <w:p>
            <w:r>
              <w:rPr>
                <w:rFonts w:ascii="Calibri" w:hAnsi="Calibri"/>
                <w:sz w:val="22"/>
              </w:rPr>
              <w:t>$2.56</w:t>
            </w:r>
          </w:p>
        </w:tc>
        <w:tc>
          <w:tcPr>
            <w:tcW w:type="dxa" w:w="1440"/>
          </w:tcPr>
          <w:p>
            <w:r>
              <w:rPr>
                <w:rFonts w:ascii="Calibri" w:hAnsi="Calibri"/>
                <w:sz w:val="22"/>
              </w:rPr>
              <w:t>$2.11</w:t>
            </w:r>
          </w:p>
        </w:tc>
        <w:tc>
          <w:tcPr>
            <w:tcW w:type="dxa" w:w="1440"/>
          </w:tcPr>
          <w:p>
            <w:r>
              <w:rPr>
                <w:rFonts w:ascii="Calibri" w:hAnsi="Calibri"/>
                <w:b/>
                <w:color w:val="30A46C"/>
                <w:sz w:val="22"/>
              </w:rPr>
              <w:t>+21.3%</w:t>
            </w:r>
          </w:p>
        </w:tc>
        <w:tc>
          <w:tcPr>
            <w:tcW w:type="dxa" w:w="1440"/>
          </w:tcPr>
          <w:p>
            <w:r>
              <w:rPr>
                <w:rFonts w:ascii="Calibri" w:hAnsi="Calibri"/>
                <w:b/>
                <w:sz w:val="22"/>
              </w:rPr>
              <w:t>Beat</w:t>
            </w:r>
          </w:p>
        </w:tc>
      </w:tr>
      <w:tr>
        <w:tc>
          <w:tcPr>
            <w:tcW w:type="dxa" w:w="1440"/>
          </w:tcPr>
          <w:p>
            <w:r>
              <w:rPr>
                <w:rFonts w:ascii="Calibri" w:hAnsi="Calibri"/>
                <w:sz w:val="22"/>
              </w:rPr>
              <w:t>Q4 2025</w:t>
            </w:r>
          </w:p>
        </w:tc>
        <w:tc>
          <w:tcPr>
            <w:tcW w:type="dxa" w:w="1440"/>
          </w:tcPr>
          <w:p>
            <w:r>
              <w:rPr>
                <w:rFonts w:ascii="Calibri" w:hAnsi="Calibri"/>
                <w:sz w:val="22"/>
              </w:rPr>
              <w:t>Revenue ($M)</w:t>
            </w:r>
          </w:p>
        </w:tc>
        <w:tc>
          <w:tcPr>
            <w:tcW w:type="dxa" w:w="1440"/>
          </w:tcPr>
          <w:p>
            <w:r>
              <w:rPr>
                <w:rFonts w:ascii="Calibri" w:hAnsi="Calibri"/>
                <w:sz w:val="22"/>
              </w:rPr>
              <w:t>$1,083.3</w:t>
            </w:r>
          </w:p>
        </w:tc>
        <w:tc>
          <w:tcPr>
            <w:tcW w:type="dxa" w:w="1440"/>
          </w:tcPr>
          <w:p>
            <w:r>
              <w:rPr>
                <w:rFonts w:ascii="Calibri" w:hAnsi="Calibri"/>
                <w:sz w:val="22"/>
              </w:rPr>
              <w:t>$975.6</w:t>
            </w:r>
          </w:p>
        </w:tc>
        <w:tc>
          <w:tcPr>
            <w:tcW w:type="dxa" w:w="1440"/>
          </w:tcPr>
          <w:p>
            <w:r>
              <w:rPr>
                <w:rFonts w:ascii="Calibri" w:hAnsi="Calibri"/>
                <w:b/>
                <w:color w:val="30A46C"/>
                <w:sz w:val="22"/>
              </w:rPr>
              <w:t>+11.1%</w:t>
            </w:r>
          </w:p>
        </w:tc>
        <w:tc>
          <w:tcPr>
            <w:tcW w:type="dxa" w:w="1440"/>
          </w:tcPr>
          <w:p>
            <w:r>
              <w:rPr>
                <w:rFonts w:ascii="Calibri" w:hAnsi="Calibri"/>
                <w:b/>
                <w:sz w:val="22"/>
              </w:rPr>
              <w:t>Beat</w:t>
            </w:r>
          </w:p>
        </w:tc>
      </w:tr>
      <w:tr>
        <w:tc>
          <w:tcPr>
            <w:tcW w:type="dxa" w:w="1440"/>
          </w:tcPr>
          <w:p>
            <w:r>
              <w:rPr>
                <w:rFonts w:ascii="Calibri" w:hAnsi="Calibri"/>
                <w:sz w:val="22"/>
              </w:rPr>
              <w:t>Q4 2025</w:t>
            </w:r>
          </w:p>
        </w:tc>
        <w:tc>
          <w:tcPr>
            <w:tcW w:type="dxa" w:w="1440"/>
          </w:tcPr>
          <w:p>
            <w:r>
              <w:rPr>
                <w:rFonts w:ascii="Calibri" w:hAnsi="Calibri"/>
                <w:sz w:val="22"/>
              </w:rPr>
              <w:t>Non-GAAP EPS ($)</w:t>
            </w:r>
          </w:p>
        </w:tc>
        <w:tc>
          <w:tcPr>
            <w:tcW w:type="dxa" w:w="1440"/>
          </w:tcPr>
          <w:p>
            <w:r>
              <w:rPr>
                <w:rFonts w:ascii="Calibri" w:hAnsi="Calibri"/>
                <w:sz w:val="22"/>
              </w:rPr>
              <w:t>$1.80</w:t>
            </w:r>
          </w:p>
        </w:tc>
        <w:tc>
          <w:tcPr>
            <w:tcW w:type="dxa" w:w="1440"/>
          </w:tcPr>
          <w:p>
            <w:r>
              <w:rPr>
                <w:rFonts w:ascii="Calibri" w:hAnsi="Calibri"/>
                <w:sz w:val="22"/>
              </w:rPr>
              <w:t>$1.37</w:t>
            </w:r>
          </w:p>
        </w:tc>
        <w:tc>
          <w:tcPr>
            <w:tcW w:type="dxa" w:w="1440"/>
          </w:tcPr>
          <w:p>
            <w:r>
              <w:rPr>
                <w:rFonts w:ascii="Calibri" w:hAnsi="Calibri"/>
                <w:b/>
                <w:color w:val="30A46C"/>
                <w:sz w:val="22"/>
              </w:rPr>
              <w:t>+31.4%</w:t>
            </w:r>
          </w:p>
        </w:tc>
        <w:tc>
          <w:tcPr>
            <w:tcW w:type="dxa" w:w="1440"/>
          </w:tcPr>
          <w:p>
            <w:r>
              <w:rPr>
                <w:rFonts w:ascii="Calibri" w:hAnsi="Calibri"/>
                <w:b/>
                <w:sz w:val="22"/>
              </w:rPr>
              <w:t>Beat</w:t>
            </w:r>
          </w:p>
        </w:tc>
      </w:tr>
      <w:tr>
        <w:tc>
          <w:tcPr>
            <w:tcW w:type="dxa" w:w="1440"/>
          </w:tcPr>
          <w:p>
            <w:r>
              <w:rPr>
                <w:rFonts w:ascii="Calibri" w:hAnsi="Calibri"/>
                <w:sz w:val="22"/>
              </w:rPr>
              <w:t>Q3 2025</w:t>
            </w:r>
          </w:p>
        </w:tc>
        <w:tc>
          <w:tcPr>
            <w:tcW w:type="dxa" w:w="1440"/>
          </w:tcPr>
          <w:p>
            <w:r>
              <w:rPr>
                <w:rFonts w:ascii="Calibri" w:hAnsi="Calibri"/>
                <w:sz w:val="22"/>
              </w:rPr>
              <w:t>Revenue ($M)</w:t>
            </w:r>
          </w:p>
        </w:tc>
        <w:tc>
          <w:tcPr>
            <w:tcW w:type="dxa" w:w="1440"/>
          </w:tcPr>
          <w:p>
            <w:r>
              <w:rPr>
                <w:rFonts w:ascii="Calibri" w:hAnsi="Calibri"/>
                <w:sz w:val="22"/>
              </w:rPr>
              <w:t>$769.2</w:t>
            </w:r>
          </w:p>
        </w:tc>
        <w:tc>
          <w:tcPr>
            <w:tcW w:type="dxa" w:w="1440"/>
          </w:tcPr>
          <w:p>
            <w:r>
              <w:rPr>
                <w:rFonts w:ascii="Calibri" w:hAnsi="Calibri"/>
                <w:sz w:val="22"/>
              </w:rPr>
              <w:t>$744.9</w:t>
            </w:r>
          </w:p>
        </w:tc>
        <w:tc>
          <w:tcPr>
            <w:tcW w:type="dxa" w:w="1440"/>
          </w:tcPr>
          <w:p>
            <w:r>
              <w:rPr>
                <w:rFonts w:ascii="Calibri" w:hAnsi="Calibri"/>
                <w:b/>
                <w:color w:val="30A46C"/>
                <w:sz w:val="22"/>
              </w:rPr>
              <w:t>+3.3%</w:t>
            </w:r>
          </w:p>
        </w:tc>
        <w:tc>
          <w:tcPr>
            <w:tcW w:type="dxa" w:w="1440"/>
          </w:tcPr>
          <w:p>
            <w:r>
              <w:rPr>
                <w:rFonts w:ascii="Calibri" w:hAnsi="Calibri"/>
                <w:b/>
                <w:sz w:val="22"/>
              </w:rPr>
              <w:t>Beat</w:t>
            </w:r>
          </w:p>
        </w:tc>
      </w:tr>
      <w:tr>
        <w:tc>
          <w:tcPr>
            <w:tcW w:type="dxa" w:w="1440"/>
          </w:tcPr>
          <w:p>
            <w:r>
              <w:rPr>
                <w:rFonts w:ascii="Calibri" w:hAnsi="Calibri"/>
                <w:sz w:val="22"/>
              </w:rPr>
              <w:t>Q3 2025</w:t>
            </w:r>
          </w:p>
        </w:tc>
        <w:tc>
          <w:tcPr>
            <w:tcW w:type="dxa" w:w="1440"/>
          </w:tcPr>
          <w:p>
            <w:r>
              <w:rPr>
                <w:rFonts w:ascii="Calibri" w:hAnsi="Calibri"/>
                <w:sz w:val="22"/>
              </w:rPr>
              <w:t>Non-GAAP EPS ($)</w:t>
            </w:r>
          </w:p>
        </w:tc>
        <w:tc>
          <w:tcPr>
            <w:tcW w:type="dxa" w:w="1440"/>
          </w:tcPr>
          <w:p>
            <w:r>
              <w:rPr>
                <w:rFonts w:ascii="Calibri" w:hAnsi="Calibri"/>
                <w:sz w:val="22"/>
              </w:rPr>
              <w:t>$0.85</w:t>
            </w:r>
          </w:p>
        </w:tc>
        <w:tc>
          <w:tcPr>
            <w:tcW w:type="dxa" w:w="1440"/>
          </w:tcPr>
          <w:p>
            <w:r>
              <w:rPr>
                <w:rFonts w:ascii="Calibri" w:hAnsi="Calibri"/>
                <w:sz w:val="22"/>
              </w:rPr>
              <w:t>$0.79</w:t>
            </w:r>
          </w:p>
        </w:tc>
        <w:tc>
          <w:tcPr>
            <w:tcW w:type="dxa" w:w="1440"/>
          </w:tcPr>
          <w:p>
            <w:r>
              <w:rPr>
                <w:rFonts w:ascii="Calibri" w:hAnsi="Calibri"/>
                <w:b/>
                <w:color w:val="30A46C"/>
                <w:sz w:val="22"/>
              </w:rPr>
              <w:t>+7.6%</w:t>
            </w:r>
          </w:p>
        </w:tc>
        <w:tc>
          <w:tcPr>
            <w:tcW w:type="dxa" w:w="1440"/>
          </w:tcPr>
          <w:p>
            <w:r>
              <w:rPr>
                <w:rFonts w:ascii="Calibri" w:hAnsi="Calibri"/>
                <w:b/>
                <w:sz w:val="22"/>
              </w:rPr>
              <w:t>Beat</w:t>
            </w:r>
          </w:p>
        </w:tc>
      </w:tr>
      <w:tr>
        <w:tc>
          <w:tcPr>
            <w:tcW w:type="dxa" w:w="1440"/>
          </w:tcPr>
          <w:p>
            <w:r>
              <w:rPr>
                <w:rFonts w:ascii="Calibri" w:hAnsi="Calibri"/>
                <w:sz w:val="22"/>
              </w:rPr>
              <w:t>Q2 2025</w:t>
            </w:r>
          </w:p>
        </w:tc>
        <w:tc>
          <w:tcPr>
            <w:tcW w:type="dxa" w:w="1440"/>
          </w:tcPr>
          <w:p>
            <w:r>
              <w:rPr>
                <w:rFonts w:ascii="Calibri" w:hAnsi="Calibri"/>
                <w:sz w:val="22"/>
              </w:rPr>
              <w:t>Revenue ($M)</w:t>
            </w:r>
          </w:p>
        </w:tc>
        <w:tc>
          <w:tcPr>
            <w:tcW w:type="dxa" w:w="1440"/>
          </w:tcPr>
          <w:p>
            <w:r>
              <w:rPr>
                <w:rFonts w:ascii="Calibri" w:hAnsi="Calibri"/>
                <w:sz w:val="22"/>
              </w:rPr>
              <w:t>$651.8</w:t>
            </w:r>
          </w:p>
        </w:tc>
        <w:tc>
          <w:tcPr>
            <w:tcW w:type="dxa" w:w="1440"/>
          </w:tcPr>
          <w:p>
            <w:r>
              <w:rPr>
                <w:rFonts w:ascii="Calibri" w:hAnsi="Calibri"/>
                <w:sz w:val="22"/>
              </w:rPr>
              <w:t>$650.5</w:t>
            </w:r>
          </w:p>
        </w:tc>
        <w:tc>
          <w:tcPr>
            <w:tcW w:type="dxa" w:w="1440"/>
          </w:tcPr>
          <w:p>
            <w:r>
              <w:rPr>
                <w:rFonts w:ascii="Calibri" w:hAnsi="Calibri"/>
                <w:b/>
                <w:color w:val="30A46C"/>
                <w:sz w:val="22"/>
              </w:rPr>
              <w:t>+0.2%</w:t>
            </w:r>
          </w:p>
        </w:tc>
        <w:tc>
          <w:tcPr>
            <w:tcW w:type="dxa" w:w="1440"/>
          </w:tcPr>
          <w:p>
            <w:r>
              <w:rPr>
                <w:rFonts w:ascii="Calibri" w:hAnsi="Calibri"/>
                <w:b/>
                <w:sz w:val="22"/>
              </w:rPr>
              <w:t>Beat</w:t>
            </w:r>
          </w:p>
        </w:tc>
      </w:tr>
      <w:tr>
        <w:tc>
          <w:tcPr>
            <w:tcW w:type="dxa" w:w="1440"/>
          </w:tcPr>
          <w:p>
            <w:r>
              <w:rPr>
                <w:rFonts w:ascii="Calibri" w:hAnsi="Calibri"/>
                <w:sz w:val="22"/>
              </w:rPr>
              <w:t>Q2 2025</w:t>
            </w:r>
          </w:p>
        </w:tc>
        <w:tc>
          <w:tcPr>
            <w:tcW w:type="dxa" w:w="1440"/>
          </w:tcPr>
          <w:p>
            <w:r>
              <w:rPr>
                <w:rFonts w:ascii="Calibri" w:hAnsi="Calibri"/>
                <w:sz w:val="22"/>
              </w:rPr>
              <w:t>Non-GAAP EPS ($)</w:t>
            </w:r>
          </w:p>
        </w:tc>
        <w:tc>
          <w:tcPr>
            <w:tcW w:type="dxa" w:w="1440"/>
          </w:tcPr>
          <w:p>
            <w:r>
              <w:rPr>
                <w:rFonts w:ascii="Calibri" w:hAnsi="Calibri"/>
                <w:sz w:val="22"/>
              </w:rPr>
              <w:t>$0.57</w:t>
            </w:r>
          </w:p>
        </w:tc>
        <w:tc>
          <w:tcPr>
            <w:tcW w:type="dxa" w:w="1440"/>
          </w:tcPr>
          <w:p>
            <w:r>
              <w:rPr>
                <w:rFonts w:ascii="Calibri" w:hAnsi="Calibri"/>
                <w:sz w:val="22"/>
              </w:rPr>
              <w:t>$0.54</w:t>
            </w:r>
          </w:p>
        </w:tc>
        <w:tc>
          <w:tcPr>
            <w:tcW w:type="dxa" w:w="1440"/>
          </w:tcPr>
          <w:p>
            <w:r>
              <w:rPr>
                <w:rFonts w:ascii="Calibri" w:hAnsi="Calibri"/>
                <w:b/>
                <w:color w:val="30A46C"/>
                <w:sz w:val="22"/>
              </w:rPr>
              <w:t>+5.6%</w:t>
            </w:r>
          </w:p>
        </w:tc>
        <w:tc>
          <w:tcPr>
            <w:tcW w:type="dxa" w:w="1440"/>
          </w:tcPr>
          <w:p>
            <w:r>
              <w:rPr>
                <w:rFonts w:ascii="Calibri" w:hAnsi="Calibri"/>
                <w:b/>
                <w:sz w:val="22"/>
              </w:rPr>
              <w:t>Beat</w:t>
            </w:r>
          </w:p>
        </w:tc>
      </w:tr>
      <w:tr>
        <w:tc>
          <w:tcPr>
            <w:tcW w:type="dxa" w:w="1440"/>
          </w:tcPr>
          <w:p>
            <w:r>
              <w:rPr>
                <w:rFonts w:ascii="Calibri" w:hAnsi="Calibri"/>
                <w:sz w:val="22"/>
              </w:rPr>
              <w:t>Q1 2025</w:t>
            </w:r>
          </w:p>
        </w:tc>
        <w:tc>
          <w:tcPr>
            <w:tcW w:type="dxa" w:w="1440"/>
          </w:tcPr>
          <w:p>
            <w:r>
              <w:rPr>
                <w:rFonts w:ascii="Calibri" w:hAnsi="Calibri"/>
                <w:sz w:val="22"/>
              </w:rPr>
              <w:t>Revenue ($M)</w:t>
            </w:r>
          </w:p>
        </w:tc>
        <w:tc>
          <w:tcPr>
            <w:tcW w:type="dxa" w:w="1440"/>
          </w:tcPr>
          <w:p>
            <w:r>
              <w:rPr>
                <w:rFonts w:ascii="Calibri" w:hAnsi="Calibri"/>
                <w:sz w:val="22"/>
              </w:rPr>
              <w:t>$685.7</w:t>
            </w:r>
          </w:p>
        </w:tc>
        <w:tc>
          <w:tcPr>
            <w:tcW w:type="dxa" w:w="1440"/>
          </w:tcPr>
          <w:p>
            <w:r>
              <w:rPr>
                <w:rFonts w:ascii="Calibri" w:hAnsi="Calibri"/>
                <w:sz w:val="22"/>
              </w:rPr>
              <w:t>$683.9</w:t>
            </w:r>
          </w:p>
        </w:tc>
        <w:tc>
          <w:tcPr>
            <w:tcW w:type="dxa" w:w="1440"/>
          </w:tcPr>
          <w:p>
            <w:r>
              <w:rPr>
                <w:rFonts w:ascii="Calibri" w:hAnsi="Calibri"/>
                <w:b/>
                <w:color w:val="30A46C"/>
                <w:sz w:val="22"/>
              </w:rPr>
              <w:t>+0.3%</w:t>
            </w:r>
          </w:p>
        </w:tc>
        <w:tc>
          <w:tcPr>
            <w:tcW w:type="dxa" w:w="1440"/>
          </w:tcPr>
          <w:p>
            <w:r>
              <w:rPr>
                <w:rFonts w:ascii="Calibri" w:hAnsi="Calibri"/>
                <w:b/>
                <w:sz w:val="22"/>
              </w:rPr>
              <w:t>Beat</w:t>
            </w:r>
          </w:p>
        </w:tc>
      </w:tr>
      <w:tr>
        <w:tc>
          <w:tcPr>
            <w:tcW w:type="dxa" w:w="1440"/>
          </w:tcPr>
          <w:p>
            <w:r>
              <w:rPr>
                <w:rFonts w:ascii="Calibri" w:hAnsi="Calibri"/>
                <w:sz w:val="22"/>
              </w:rPr>
              <w:t>Q1 2025</w:t>
            </w:r>
          </w:p>
        </w:tc>
        <w:tc>
          <w:tcPr>
            <w:tcW w:type="dxa" w:w="1440"/>
          </w:tcPr>
          <w:p>
            <w:r>
              <w:rPr>
                <w:rFonts w:ascii="Calibri" w:hAnsi="Calibri"/>
                <w:sz w:val="22"/>
              </w:rPr>
              <w:t>Non-GAAP EPS ($)</w:t>
            </w:r>
          </w:p>
        </w:tc>
        <w:tc>
          <w:tcPr>
            <w:tcW w:type="dxa" w:w="1440"/>
          </w:tcPr>
          <w:p>
            <w:r>
              <w:rPr>
                <w:rFonts w:ascii="Calibri" w:hAnsi="Calibri"/>
                <w:sz w:val="22"/>
              </w:rPr>
              <w:t>$0.75</w:t>
            </w:r>
          </w:p>
        </w:tc>
        <w:tc>
          <w:tcPr>
            <w:tcW w:type="dxa" w:w="1440"/>
          </w:tcPr>
          <w:p>
            <w:r>
              <w:rPr>
                <w:rFonts w:ascii="Calibri" w:hAnsi="Calibri"/>
                <w:sz w:val="22"/>
              </w:rPr>
              <w:t>$0.62</w:t>
            </w:r>
          </w:p>
        </w:tc>
        <w:tc>
          <w:tcPr>
            <w:tcW w:type="dxa" w:w="1440"/>
          </w:tcPr>
          <w:p>
            <w:r>
              <w:rPr>
                <w:rFonts w:ascii="Calibri" w:hAnsi="Calibri"/>
                <w:b/>
                <w:color w:val="30A46C"/>
                <w:sz w:val="22"/>
              </w:rPr>
              <w:t>+21.0%</w:t>
            </w:r>
          </w:p>
        </w:tc>
        <w:tc>
          <w:tcPr>
            <w:tcW w:type="dxa" w:w="1440"/>
          </w:tcPr>
          <w:p>
            <w:r>
              <w:rPr>
                <w:rFonts w:ascii="Calibri" w:hAnsi="Calibri"/>
                <w:b/>
                <w:sz w:val="22"/>
              </w:rPr>
              <w:t>Beat</w:t>
            </w:r>
          </w:p>
        </w:tc>
      </w:tr>
      <w:tr>
        <w:tc>
          <w:tcPr>
            <w:tcW w:type="dxa" w:w="1440"/>
          </w:tcPr>
          <w:p>
            <w:r>
              <w:rPr>
                <w:rFonts w:ascii="Calibri" w:hAnsi="Calibri"/>
                <w:sz w:val="22"/>
              </w:rPr>
              <w:t>Q4 2024</w:t>
            </w:r>
          </w:p>
        </w:tc>
        <w:tc>
          <w:tcPr>
            <w:tcW w:type="dxa" w:w="1440"/>
          </w:tcPr>
          <w:p>
            <w:r>
              <w:rPr>
                <w:rFonts w:ascii="Calibri" w:hAnsi="Calibri"/>
                <w:sz w:val="22"/>
              </w:rPr>
              <w:t>Revenue ($M)</w:t>
            </w:r>
          </w:p>
        </w:tc>
        <w:tc>
          <w:tcPr>
            <w:tcW w:type="dxa" w:w="1440"/>
          </w:tcPr>
          <w:p>
            <w:r>
              <w:rPr>
                <w:rFonts w:ascii="Calibri" w:hAnsi="Calibri"/>
                <w:sz w:val="22"/>
              </w:rPr>
              <w:t>$752.9</w:t>
            </w:r>
          </w:p>
        </w:tc>
        <w:tc>
          <w:tcPr>
            <w:tcW w:type="dxa" w:w="1440"/>
          </w:tcPr>
          <w:p>
            <w:r>
              <w:rPr>
                <w:rFonts w:ascii="Calibri" w:hAnsi="Calibri"/>
                <w:sz w:val="22"/>
              </w:rPr>
              <w:t>$742.1</w:t>
            </w:r>
          </w:p>
        </w:tc>
        <w:tc>
          <w:tcPr>
            <w:tcW w:type="dxa" w:w="1440"/>
          </w:tcPr>
          <w:p>
            <w:r>
              <w:rPr>
                <w:rFonts w:ascii="Calibri" w:hAnsi="Calibri"/>
                <w:b/>
                <w:color w:val="30A46C"/>
                <w:sz w:val="22"/>
              </w:rPr>
              <w:t>+1.5%</w:t>
            </w:r>
          </w:p>
        </w:tc>
        <w:tc>
          <w:tcPr>
            <w:tcW w:type="dxa" w:w="1440"/>
          </w:tcPr>
          <w:p>
            <w:r>
              <w:rPr>
                <w:rFonts w:ascii="Calibri" w:hAnsi="Calibri"/>
                <w:b/>
                <w:sz w:val="22"/>
              </w:rPr>
              <w:t>Beat</w:t>
            </w:r>
          </w:p>
        </w:tc>
      </w:tr>
      <w:tr>
        <w:tc>
          <w:tcPr>
            <w:tcW w:type="dxa" w:w="1440"/>
          </w:tcPr>
          <w:p>
            <w:r>
              <w:rPr>
                <w:rFonts w:ascii="Calibri" w:hAnsi="Calibri"/>
                <w:sz w:val="22"/>
              </w:rPr>
              <w:t>Q4 2024</w:t>
            </w:r>
          </w:p>
        </w:tc>
        <w:tc>
          <w:tcPr>
            <w:tcW w:type="dxa" w:w="1440"/>
          </w:tcPr>
          <w:p>
            <w:r>
              <w:rPr>
                <w:rFonts w:ascii="Calibri" w:hAnsi="Calibri"/>
                <w:sz w:val="22"/>
              </w:rPr>
              <w:t>Non-GAAP EPS ($)</w:t>
            </w:r>
          </w:p>
        </w:tc>
        <w:tc>
          <w:tcPr>
            <w:tcW w:type="dxa" w:w="1440"/>
          </w:tcPr>
          <w:p>
            <w:r>
              <w:rPr>
                <w:rFonts w:ascii="Calibri" w:hAnsi="Calibri"/>
                <w:sz w:val="22"/>
              </w:rPr>
              <w:t>$0.95</w:t>
            </w:r>
          </w:p>
        </w:tc>
        <w:tc>
          <w:tcPr>
            <w:tcW w:type="dxa" w:w="1440"/>
          </w:tcPr>
          <w:p>
            <w:r>
              <w:rPr>
                <w:rFonts w:ascii="Calibri" w:hAnsi="Calibri"/>
                <w:sz w:val="22"/>
              </w:rPr>
              <w:t>$0.92</w:t>
            </w:r>
          </w:p>
        </w:tc>
        <w:tc>
          <w:tcPr>
            <w:tcW w:type="dxa" w:w="1440"/>
          </w:tcPr>
          <w:p>
            <w:r>
              <w:rPr>
                <w:rFonts w:ascii="Calibri" w:hAnsi="Calibri"/>
                <w:b/>
                <w:color w:val="30A46C"/>
                <w:sz w:val="22"/>
              </w:rPr>
              <w:t>+3.3%</w:t>
            </w:r>
          </w:p>
        </w:tc>
        <w:tc>
          <w:tcPr>
            <w:tcW w:type="dxa" w:w="1440"/>
          </w:tcPr>
          <w:p>
            <w:r>
              <w:rPr>
                <w:rFonts w:ascii="Calibri" w:hAnsi="Calibri"/>
                <w:b/>
                <w:sz w:val="22"/>
              </w:rPr>
              <w:t>Beat</w:t>
            </w:r>
          </w:p>
        </w:tc>
      </w:tr>
      <w:tr>
        <w:tc>
          <w:tcPr>
            <w:tcW w:type="dxa" w:w="1440"/>
          </w:tcPr>
          <w:p>
            <w:r>
              <w:rPr>
                <w:rFonts w:ascii="Calibri" w:hAnsi="Calibri"/>
                <w:sz w:val="22"/>
              </w:rPr>
              <w:t>Q3 2024</w:t>
            </w:r>
          </w:p>
        </w:tc>
        <w:tc>
          <w:tcPr>
            <w:tcW w:type="dxa" w:w="1440"/>
          </w:tcPr>
          <w:p>
            <w:r>
              <w:rPr>
                <w:rFonts w:ascii="Calibri" w:hAnsi="Calibri"/>
                <w:sz w:val="22"/>
              </w:rPr>
              <w:t>Revenue ($M)</w:t>
            </w:r>
          </w:p>
        </w:tc>
        <w:tc>
          <w:tcPr>
            <w:tcW w:type="dxa" w:w="1440"/>
          </w:tcPr>
          <w:p>
            <w:r>
              <w:rPr>
                <w:rFonts w:ascii="Calibri" w:hAnsi="Calibri"/>
                <w:sz w:val="22"/>
              </w:rPr>
              <w:t>$737.3</w:t>
            </w:r>
          </w:p>
        </w:tc>
        <w:tc>
          <w:tcPr>
            <w:tcW w:type="dxa" w:w="1440"/>
          </w:tcPr>
          <w:p>
            <w:r>
              <w:rPr>
                <w:rFonts w:ascii="Calibri" w:hAnsi="Calibri"/>
                <w:sz w:val="22"/>
              </w:rPr>
              <w:t>$717.2</w:t>
            </w:r>
          </w:p>
        </w:tc>
        <w:tc>
          <w:tcPr>
            <w:tcW w:type="dxa" w:w="1440"/>
          </w:tcPr>
          <w:p>
            <w:r>
              <w:rPr>
                <w:rFonts w:ascii="Calibri" w:hAnsi="Calibri"/>
                <w:b/>
                <w:color w:val="30A46C"/>
                <w:sz w:val="22"/>
              </w:rPr>
              <w:t>+2.8%</w:t>
            </w:r>
          </w:p>
        </w:tc>
        <w:tc>
          <w:tcPr>
            <w:tcW w:type="dxa" w:w="1440"/>
          </w:tcPr>
          <w:p>
            <w:r>
              <w:rPr>
                <w:rFonts w:ascii="Calibri" w:hAnsi="Calibri"/>
                <w:b/>
                <w:sz w:val="22"/>
              </w:rPr>
              <w:t>Beat</w:t>
            </w:r>
          </w:p>
        </w:tc>
      </w:tr>
      <w:tr>
        <w:tc>
          <w:tcPr>
            <w:tcW w:type="dxa" w:w="1440"/>
          </w:tcPr>
          <w:p>
            <w:r>
              <w:rPr>
                <w:rFonts w:ascii="Calibri" w:hAnsi="Calibri"/>
                <w:sz w:val="22"/>
              </w:rPr>
              <w:t>Q3 2024</w:t>
            </w:r>
          </w:p>
        </w:tc>
        <w:tc>
          <w:tcPr>
            <w:tcW w:type="dxa" w:w="1440"/>
          </w:tcPr>
          <w:p>
            <w:r>
              <w:rPr>
                <w:rFonts w:ascii="Calibri" w:hAnsi="Calibri"/>
                <w:sz w:val="22"/>
              </w:rPr>
              <w:t>Non-GAAP EPS ($)</w:t>
            </w:r>
          </w:p>
        </w:tc>
        <w:tc>
          <w:tcPr>
            <w:tcW w:type="dxa" w:w="1440"/>
          </w:tcPr>
          <w:p>
            <w:r>
              <w:rPr>
                <w:rFonts w:ascii="Calibri" w:hAnsi="Calibri"/>
                <w:sz w:val="22"/>
              </w:rPr>
              <w:t>$0.90</w:t>
            </w:r>
          </w:p>
        </w:tc>
        <w:tc>
          <w:tcPr>
            <w:tcW w:type="dxa" w:w="1440"/>
          </w:tcPr>
          <w:p>
            <w:r>
              <w:rPr>
                <w:rFonts w:ascii="Calibri" w:hAnsi="Calibri"/>
                <w:sz w:val="22"/>
              </w:rPr>
              <w:t>$0.79</w:t>
            </w:r>
          </w:p>
        </w:tc>
        <w:tc>
          <w:tcPr>
            <w:tcW w:type="dxa" w:w="1440"/>
          </w:tcPr>
          <w:p>
            <w:r>
              <w:rPr>
                <w:rFonts w:ascii="Calibri" w:hAnsi="Calibri"/>
                <w:b/>
                <w:color w:val="30A46C"/>
                <w:sz w:val="22"/>
              </w:rPr>
              <w:t>+14.0%</w:t>
            </w:r>
          </w:p>
        </w:tc>
        <w:tc>
          <w:tcPr>
            <w:tcW w:type="dxa" w:w="1440"/>
          </w:tcPr>
          <w:p>
            <w:r>
              <w:rPr>
                <w:rFonts w:ascii="Calibri" w:hAnsi="Calibri"/>
                <w:b/>
                <w:sz w:val="22"/>
              </w:rPr>
              <w:t>Beat</w:t>
            </w:r>
          </w:p>
        </w:tc>
      </w:tr>
      <w:tr>
        <w:tc>
          <w:tcPr>
            <w:tcW w:type="dxa" w:w="1440"/>
          </w:tcPr>
          <w:p>
            <w:r>
              <w:rPr>
                <w:rFonts w:ascii="Calibri" w:hAnsi="Calibri"/>
                <w:sz w:val="22"/>
              </w:rPr>
              <w:t>Q2 2024</w:t>
            </w:r>
          </w:p>
        </w:tc>
        <w:tc>
          <w:tcPr>
            <w:tcW w:type="dxa" w:w="1440"/>
          </w:tcPr>
          <w:p>
            <w:r>
              <w:rPr>
                <w:rFonts w:ascii="Calibri" w:hAnsi="Calibri"/>
                <w:sz w:val="22"/>
              </w:rPr>
              <w:t>Revenue ($M)</w:t>
            </w:r>
          </w:p>
        </w:tc>
        <w:tc>
          <w:tcPr>
            <w:tcW w:type="dxa" w:w="1440"/>
          </w:tcPr>
          <w:p>
            <w:r>
              <w:rPr>
                <w:rFonts w:ascii="Calibri" w:hAnsi="Calibri"/>
                <w:sz w:val="22"/>
              </w:rPr>
              <w:t>$729.9</w:t>
            </w:r>
          </w:p>
        </w:tc>
        <w:tc>
          <w:tcPr>
            <w:tcW w:type="dxa" w:w="1440"/>
          </w:tcPr>
          <w:p>
            <w:r>
              <w:rPr>
                <w:rFonts w:ascii="Calibri" w:hAnsi="Calibri"/>
                <w:sz w:val="22"/>
              </w:rPr>
              <w:t>$702.9</w:t>
            </w:r>
          </w:p>
        </w:tc>
        <w:tc>
          <w:tcPr>
            <w:tcW w:type="dxa" w:w="1440"/>
          </w:tcPr>
          <w:p>
            <w:r>
              <w:rPr>
                <w:rFonts w:ascii="Calibri" w:hAnsi="Calibri"/>
                <w:b/>
                <w:color w:val="30A46C"/>
                <w:sz w:val="22"/>
              </w:rPr>
              <w:t>+3.8%</w:t>
            </w:r>
          </w:p>
        </w:tc>
        <w:tc>
          <w:tcPr>
            <w:tcW w:type="dxa" w:w="1440"/>
          </w:tcPr>
          <w:p>
            <w:r>
              <w:rPr>
                <w:rFonts w:ascii="Calibri" w:hAnsi="Calibri"/>
                <w:b/>
                <w:sz w:val="22"/>
              </w:rPr>
              <w:t>Beat</w:t>
            </w:r>
          </w:p>
        </w:tc>
      </w:tr>
      <w:tr>
        <w:tc>
          <w:tcPr>
            <w:tcW w:type="dxa" w:w="1440"/>
          </w:tcPr>
          <w:p>
            <w:r>
              <w:rPr>
                <w:rFonts w:ascii="Calibri" w:hAnsi="Calibri"/>
                <w:sz w:val="22"/>
              </w:rPr>
              <w:t>Q2 2024</w:t>
            </w:r>
          </w:p>
        </w:tc>
        <w:tc>
          <w:tcPr>
            <w:tcW w:type="dxa" w:w="1440"/>
          </w:tcPr>
          <w:p>
            <w:r>
              <w:rPr>
                <w:rFonts w:ascii="Calibri" w:hAnsi="Calibri"/>
                <w:sz w:val="22"/>
              </w:rPr>
              <w:t>Non-GAAP EPS ($)</w:t>
            </w:r>
          </w:p>
        </w:tc>
        <w:tc>
          <w:tcPr>
            <w:tcW w:type="dxa" w:w="1440"/>
          </w:tcPr>
          <w:p>
            <w:r>
              <w:rPr>
                <w:rFonts w:ascii="Calibri" w:hAnsi="Calibri"/>
                <w:sz w:val="22"/>
              </w:rPr>
              <w:t>$0.86</w:t>
            </w:r>
          </w:p>
        </w:tc>
        <w:tc>
          <w:tcPr>
            <w:tcW w:type="dxa" w:w="1440"/>
          </w:tcPr>
          <w:p>
            <w:r>
              <w:rPr>
                <w:rFonts w:ascii="Calibri" w:hAnsi="Calibri"/>
                <w:sz w:val="22"/>
              </w:rPr>
              <w:t>$0.78</w:t>
            </w:r>
          </w:p>
        </w:tc>
        <w:tc>
          <w:tcPr>
            <w:tcW w:type="dxa" w:w="1440"/>
          </w:tcPr>
          <w:p>
            <w:r>
              <w:rPr>
                <w:rFonts w:ascii="Calibri" w:hAnsi="Calibri"/>
                <w:b/>
                <w:color w:val="30A46C"/>
                <w:sz w:val="22"/>
              </w:rPr>
              <w:t>+10.3%</w:t>
            </w:r>
          </w:p>
        </w:tc>
        <w:tc>
          <w:tcPr>
            <w:tcW w:type="dxa" w:w="1440"/>
          </w:tcPr>
          <w:p>
            <w:r>
              <w:rPr>
                <w:rFonts w:ascii="Calibri" w:hAnsi="Calibri"/>
                <w:b/>
                <w:sz w:val="22"/>
              </w:rPr>
              <w:t>Beat</w:t>
            </w:r>
          </w:p>
        </w:tc>
      </w:tr>
    </w:tbl>
    <w:p>
      <w:r>
        <w:rPr>
          <w:rFonts w:ascii="Calibri" w:hAnsi="Calibri"/>
          <w:b/>
          <w:color w:val="525866"/>
          <w:sz w:val="22"/>
        </w:rPr>
        <w:t xml:space="preserve">Pattern: </w:t>
      </w:r>
      <w:r>
        <w:rPr>
          <w:rFonts w:ascii="Calibri" w:hAnsi="Calibri"/>
          <w:color w:val="525866"/>
          <w:sz w:val="22"/>
        </w:rPr>
        <w:t>TER has beaten consensus on both revenue and non-GAAP EPS in each of the last 8 quarters, with EPS beats averaging ~14% and revenue beats averaging ~3.6% — a consistent track record that sets a high bar for the Q2 2026 print. 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Guidance has been unchanged since the April 28 earnings call — no 8-K pre-announcement, no formal revision — but management's tone at the June 2 BofA conference introduced a more candid acknowledgment of networking share risk at the merchant GPU customer, representing a subtle but directionally cautious shift.</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Apr 28)</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Q2 2026 Revenue</w:t>
            </w:r>
          </w:p>
        </w:tc>
        <w:tc>
          <w:tcPr>
            <w:tcW w:type="dxa" w:w="1728"/>
          </w:tcPr>
          <w:p>
            <w:r>
              <w:rPr>
                <w:rFonts w:ascii="Calibri" w:hAnsi="Calibri"/>
                <w:sz w:val="22"/>
              </w:rPr>
              <w:t>$1,150M – $1,250M</w:t>
            </w:r>
          </w:p>
        </w:tc>
        <w:tc>
          <w:tcPr>
            <w:tcW w:type="dxa" w:w="1728"/>
          </w:tcPr>
          <w:p>
            <w:r>
              <w:rPr>
                <w:rFonts w:ascii="Calibri" w:hAnsi="Calibri"/>
                <w:sz w:val="22"/>
              </w:rPr>
              <w:t>—</w:t>
            </w:r>
          </w:p>
        </w:tc>
        <w:tc>
          <w:tcPr>
            <w:tcW w:type="dxa" w:w="1728"/>
          </w:tcPr>
          <w:p>
            <w:r>
              <w:rPr>
                <w:rFonts w:ascii="Calibri" w:hAnsi="Calibri"/>
                <w:sz w:val="22"/>
              </w:rPr>
              <w:t>$1,215.6M</w:t>
            </w:r>
          </w:p>
        </w:tc>
        <w:tc>
          <w:tcPr>
            <w:tcW w:type="dxa" w:w="1728"/>
          </w:tcPr>
          <w:p>
            <w:r>
              <w:rPr>
                <w:rFonts w:ascii="Calibri" w:hAnsi="Calibri"/>
                <w:sz w:val="22"/>
              </w:rPr>
              <w:t>Unchanged; consensus at midpoint. Low end reflects order lumpiness / AI data center acceptance timing risk; high end reflects continued compute, networking, and memory strength.</w:t>
            </w:r>
          </w:p>
        </w:tc>
      </w:tr>
      <w:tr>
        <w:tc>
          <w:tcPr>
            <w:tcW w:type="dxa" w:w="1728"/>
          </w:tcPr>
          <w:p>
            <w:r>
              <w:rPr>
                <w:rFonts w:ascii="Calibri" w:hAnsi="Calibri"/>
                <w:sz w:val="22"/>
              </w:rPr>
              <w:t>Q2 2026 Non-GAAP EPS</w:t>
            </w:r>
          </w:p>
        </w:tc>
        <w:tc>
          <w:tcPr>
            <w:tcW w:type="dxa" w:w="1728"/>
          </w:tcPr>
          <w:p>
            <w:r>
              <w:rPr>
                <w:rFonts w:ascii="Calibri" w:hAnsi="Calibri"/>
                <w:sz w:val="22"/>
              </w:rPr>
              <w:t>$1.86 – $2.15</w:t>
            </w:r>
          </w:p>
        </w:tc>
        <w:tc>
          <w:tcPr>
            <w:tcW w:type="dxa" w:w="1728"/>
          </w:tcPr>
          <w:p>
            <w:r>
              <w:rPr>
                <w:rFonts w:ascii="Calibri" w:hAnsi="Calibri"/>
                <w:sz w:val="22"/>
              </w:rPr>
              <w:t>—</w:t>
            </w:r>
          </w:p>
        </w:tc>
        <w:tc>
          <w:tcPr>
            <w:tcW w:type="dxa" w:w="1728"/>
          </w:tcPr>
          <w:p>
            <w:r>
              <w:rPr>
                <w:rFonts w:ascii="Calibri" w:hAnsi="Calibri"/>
                <w:sz w:val="22"/>
              </w:rPr>
              <w:t>$2.05</w:t>
            </w:r>
          </w:p>
        </w:tc>
        <w:tc>
          <w:tcPr>
            <w:tcW w:type="dxa" w:w="1728"/>
          </w:tcPr>
          <w:p>
            <w:r>
              <w:rPr>
                <w:rFonts w:ascii="Calibri" w:hAnsi="Calibri"/>
                <w:sz w:val="22"/>
              </w:rPr>
              <w:t>Unchanged; consensus near low end of range. EPS leverage is high if revenue prints at the top end.</w:t>
            </w:r>
          </w:p>
        </w:tc>
      </w:tr>
      <w:tr>
        <w:tc>
          <w:tcPr>
            <w:tcW w:type="dxa" w:w="1728"/>
          </w:tcPr>
          <w:p>
            <w:r>
              <w:rPr>
                <w:rFonts w:ascii="Calibri" w:hAnsi="Calibri"/>
                <w:sz w:val="22"/>
              </w:rPr>
              <w:t>Q2 2026 Gross Margin</w:t>
            </w:r>
          </w:p>
        </w:tc>
        <w:tc>
          <w:tcPr>
            <w:tcW w:type="dxa" w:w="1728"/>
          </w:tcPr>
          <w:p>
            <w:r>
              <w:rPr>
                <w:rFonts w:ascii="Calibri" w:hAnsi="Calibri"/>
                <w:sz w:val="22"/>
              </w:rPr>
              <w:t>58% – 59% (normalized)</w:t>
            </w:r>
          </w:p>
        </w:tc>
        <w:tc>
          <w:tcPr>
            <w:tcW w:type="dxa" w:w="1728"/>
          </w:tcPr>
          <w:p>
            <w:r>
              <w:rPr>
                <w:rFonts w:ascii="Calibri" w:hAnsi="Calibri"/>
                <w:sz w:val="22"/>
              </w:rPr>
              <w:t>—</w:t>
            </w:r>
          </w:p>
        </w:tc>
        <w:tc>
          <w:tcPr>
            <w:tcW w:type="dxa" w:w="1728"/>
          </w:tcPr>
          <w:p>
            <w:r>
              <w:rPr>
                <w:rFonts w:ascii="Calibri" w:hAnsi="Calibri"/>
                <w:sz w:val="22"/>
              </w:rPr>
              <w:t>~58.7% (implied from consensus GP / Rev)</w:t>
            </w:r>
          </w:p>
        </w:tc>
        <w:tc>
          <w:tcPr>
            <w:tcW w:type="dxa" w:w="1728"/>
          </w:tcPr>
          <w:p>
            <w:r>
              <w:rPr>
                <w:rFonts w:ascii="Calibri" w:hAnsi="Calibri"/>
                <w:sz w:val="22"/>
              </w:rPr>
              <w:t>Unchanged; Q1 2026 set a record aided by peak AI volume and non-recurring benefits; Q2 normalized for those items.</w:t>
            </w:r>
          </w:p>
        </w:tc>
      </w:tr>
      <w:tr>
        <w:tc>
          <w:tcPr>
            <w:tcW w:type="dxa" w:w="1728"/>
          </w:tcPr>
          <w:p>
            <w:r>
              <w:rPr>
                <w:rFonts w:ascii="Calibri" w:hAnsi="Calibri"/>
                <w:sz w:val="22"/>
              </w:rPr>
              <w:t>Q2 2026 Non-GAAP Operating Margin</w:t>
            </w:r>
          </w:p>
        </w:tc>
        <w:tc>
          <w:tcPr>
            <w:tcW w:type="dxa" w:w="1728"/>
          </w:tcPr>
          <w:p>
            <w:r>
              <w:rPr>
                <w:rFonts w:ascii="Calibri" w:hAnsi="Calibri"/>
                <w:sz w:val="22"/>
              </w:rPr>
              <w:t>30% – 32%</w:t>
            </w:r>
          </w:p>
        </w:tc>
        <w:tc>
          <w:tcPr>
            <w:tcW w:type="dxa" w:w="1728"/>
          </w:tcPr>
          <w:p>
            <w:r>
              <w:rPr>
                <w:rFonts w:ascii="Calibri" w:hAnsi="Calibri"/>
                <w:sz w:val="22"/>
              </w:rPr>
              <w:t>—</w:t>
            </w:r>
          </w:p>
        </w:tc>
        <w:tc>
          <w:tcPr>
            <w:tcW w:type="dxa" w:w="1728"/>
          </w:tcPr>
          <w:p>
            <w:r>
              <w:rPr>
                <w:rFonts w:ascii="Calibri" w:hAnsi="Calibri"/>
                <w:sz w:val="22"/>
              </w:rPr>
              <w:t>~31.8% (implied from consensus Op Inc / Rev)</w:t>
            </w:r>
          </w:p>
        </w:tc>
        <w:tc>
          <w:tcPr>
            <w:tcW w:type="dxa" w:w="1728"/>
          </w:tcPr>
          <w:p>
            <w:r>
              <w:rPr>
                <w:rFonts w:ascii="Calibri" w:hAnsi="Calibri"/>
                <w:sz w:val="22"/>
              </w:rPr>
              <w:t>Unchanged; OpEx guided at ~27%–28% of Q2 sales.</w:t>
            </w:r>
          </w:p>
        </w:tc>
      </w:tr>
      <w:tr>
        <w:tc>
          <w:tcPr>
            <w:tcW w:type="dxa" w:w="1728"/>
          </w:tcPr>
          <w:p>
            <w:r>
              <w:rPr>
                <w:rFonts w:ascii="Calibri" w:hAnsi="Calibri"/>
                <w:sz w:val="22"/>
              </w:rPr>
              <w:t>FY 2026 Revenue Weighting</w:t>
            </w:r>
          </w:p>
        </w:tc>
        <w:tc>
          <w:tcPr>
            <w:tcW w:type="dxa" w:w="1728"/>
          </w:tcPr>
          <w:p>
            <w:r>
              <w:rPr>
                <w:rFonts w:ascii="Calibri" w:hAnsi="Calibri"/>
                <w:sz w:val="22"/>
              </w:rPr>
              <w:t>55%–60% of annual revenue in H1 (widened from prior 60% point estimate)</w:t>
            </w:r>
          </w:p>
        </w:tc>
        <w:tc>
          <w:tcPr>
            <w:tcW w:type="dxa" w:w="1728"/>
          </w:tcPr>
          <w:p>
            <w:r>
              <w:rPr>
                <w:rFonts w:ascii="Calibri" w:hAnsi="Calibri"/>
                <w:sz w:val="22"/>
              </w:rPr>
              <w:t>—</w:t>
            </w:r>
          </w:p>
        </w:tc>
        <w:tc>
          <w:tcPr>
            <w:tcW w:type="dxa" w:w="1728"/>
          </w:tcPr>
          <w:p>
            <w:r>
              <w:rPr>
                <w:rFonts w:ascii="Calibri" w:hAnsi="Calibri"/>
                <w:sz w:val="22"/>
              </w:rPr>
              <w:t>FY 2026 consensus: $4,513M</w:t>
            </w:r>
          </w:p>
        </w:tc>
        <w:tc>
          <w:tcPr>
            <w:tcW w:type="dxa" w:w="1728"/>
          </w:tcPr>
          <w:p>
            <w:r>
              <w:rPr>
                <w:rFonts w:ascii="Calibri" w:hAnsi="Calibri"/>
                <w:sz w:val="22"/>
              </w:rPr>
              <w:t>Widened range signals both demand strength and lumpiness risk. Memory (back-half weighted) could push toward the lower end of the range.</w:t>
            </w:r>
          </w:p>
        </w:tc>
      </w:tr>
      <w:tr>
        <w:tc>
          <w:tcPr>
            <w:tcW w:type="dxa" w:w="1728"/>
          </w:tcPr>
          <w:p>
            <w:r>
              <w:rPr>
                <w:rFonts w:ascii="Calibri" w:hAnsi="Calibri"/>
                <w:sz w:val="22"/>
              </w:rPr>
              <w:t>Merchant GPU Revenue (FY 2026)</w:t>
            </w:r>
          </w:p>
        </w:tc>
        <w:tc>
          <w:tcPr>
            <w:tcW w:type="dxa" w:w="1728"/>
          </w:tcPr>
          <w:p>
            <w:r>
              <w:rPr>
                <w:rFonts w:ascii="Calibri" w:hAnsi="Calibri"/>
                <w:sz w:val="22"/>
              </w:rPr>
              <w:t>~$50M line of sight for full year; first multi-system production orders received Q1; shipment/installation expected Q2</w:t>
            </w:r>
          </w:p>
        </w:tc>
        <w:tc>
          <w:tcPr>
            <w:tcW w:type="dxa" w:w="1728"/>
          </w:tcPr>
          <w:p>
            <w:r>
              <w:rPr>
                <w:rFonts w:ascii="Calibri" w:hAnsi="Calibri"/>
                <w:sz w:val="22"/>
              </w:rPr>
              <w:t>—</w:t>
            </w:r>
          </w:p>
        </w:tc>
        <w:tc>
          <w:tcPr>
            <w:tcW w:type="dxa" w:w="1728"/>
          </w:tcPr>
          <w:p>
            <w:r>
              <w:rPr>
                <w:rFonts w:ascii="Calibri" w:hAnsi="Calibri"/>
                <w:sz w:val="22"/>
              </w:rPr>
              <w:t>N/A — not separately tracked in VA</w:t>
            </w:r>
          </w:p>
        </w:tc>
        <w:tc>
          <w:tcPr>
            <w:tcW w:type="dxa" w:w="1728"/>
          </w:tcPr>
          <w:p>
            <w:r>
              <w:rPr>
                <w:rFonts w:ascii="Calibri" w:hAnsi="Calibri"/>
                <w:sz w:val="22"/>
              </w:rPr>
              <w:t>At BofA conference (Jun 2), CEO acknowledged willingness to accept networking share risk at merchant GPU customer in exchange for compute upside — subtle tone shift toward candor on competitive dynamics.</w:t>
            </w:r>
          </w:p>
        </w:tc>
      </w:tr>
    </w:tbl>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Estimates for Q2 2026 and FY 2026 have been remarkably stable since the post-Q1 baseline — revenue and EPS have barely moved — suggesting the Street has fully digested guidance and is not building in incremental upside or downside. The gap between consensus and guidance midpoint is narrow, leaving little cushion.</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(May 5, 2026)</w:t>
            </w:r>
          </w:p>
        </w:tc>
        <w:tc>
          <w:tcPr>
            <w:tcW w:type="dxa" w:w="1080"/>
            <w:shd w:val="clear" w:color="auto" w:fill="3B4259"/>
          </w:tcPr>
          <w:p>
            <w:r>
              <w:rPr>
                <w:rFonts w:ascii="Calibri" w:hAnsi="Calibri"/>
                <w:b/>
                <w:color w:val="FFFFFF"/>
                <w:sz w:val="22"/>
              </w:rPr>
              <w:t>Current Consensus (Jul 28,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(Last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Mid (%)</w:t>
            </w:r>
          </w:p>
        </w:tc>
      </w:tr>
      <w:tr>
        <w:tc>
          <w:tcPr>
            <w:tcW w:type="dxa" w:w="1080"/>
          </w:tcPr>
          <w:p>
            <w:r>
              <w:rPr>
                <w:rFonts w:ascii="Calibri" w:hAnsi="Calibri"/>
                <w:sz w:val="22"/>
              </w:rPr>
              <w:t>Net Revenue — Q2 2026</w:t>
            </w:r>
          </w:p>
        </w:tc>
        <w:tc>
          <w:tcPr>
            <w:tcW w:type="dxa" w:w="1080"/>
          </w:tcPr>
          <w:p>
            <w:r>
              <w:rPr>
                <w:rFonts w:ascii="Calibri" w:hAnsi="Calibri"/>
                <w:sz w:val="22"/>
              </w:rPr>
              <w:t>$1,212.4M</w:t>
            </w:r>
          </w:p>
        </w:tc>
        <w:tc>
          <w:tcPr>
            <w:tcW w:type="dxa" w:w="1080"/>
          </w:tcPr>
          <w:p>
            <w:r>
              <w:rPr>
                <w:rFonts w:ascii="Calibri" w:hAnsi="Calibri"/>
                <w:sz w:val="22"/>
              </w:rPr>
              <w:t>$1,215.6M</w:t>
            </w:r>
          </w:p>
        </w:tc>
        <w:tc>
          <w:tcPr>
            <w:tcW w:type="dxa" w:w="1080"/>
          </w:tcPr>
          <w:p>
            <w:r>
              <w:rPr>
                <w:rFonts w:ascii="Calibri" w:hAnsi="Calibri"/>
                <w:sz w:val="22"/>
              </w:rPr>
              <w:t>+0.3%</w:t>
            </w:r>
          </w:p>
        </w:tc>
        <w:tc>
          <w:tcPr>
            <w:tcW w:type="dxa" w:w="1080"/>
          </w:tcPr>
          <w:p>
            <w:r>
              <w:rPr>
                <w:rFonts w:ascii="Calibri" w:hAnsi="Calibri"/>
                <w:sz w:val="22"/>
              </w:rPr>
              <w:t>$1,150–$1,250M</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+1.3% vs. $1,200M mid</w:t>
            </w:r>
          </w:p>
        </w:tc>
      </w:tr>
      <w:tr>
        <w:tc>
          <w:tcPr>
            <w:tcW w:type="dxa" w:w="1080"/>
          </w:tcPr>
          <w:p>
            <w:r>
              <w:rPr>
                <w:rFonts w:ascii="Calibri" w:hAnsi="Calibri"/>
                <w:sz w:val="22"/>
              </w:rPr>
              <w:t>Non-GAAP EPS — Q2 2026</w:t>
            </w:r>
          </w:p>
        </w:tc>
        <w:tc>
          <w:tcPr>
            <w:tcW w:type="dxa" w:w="1080"/>
          </w:tcPr>
          <w:p>
            <w:r>
              <w:rPr>
                <w:rFonts w:ascii="Calibri" w:hAnsi="Calibri"/>
                <w:sz w:val="22"/>
              </w:rPr>
              <w:t>$2.052</w:t>
            </w:r>
          </w:p>
        </w:tc>
        <w:tc>
          <w:tcPr>
            <w:tcW w:type="dxa" w:w="1080"/>
          </w:tcPr>
          <w:p>
            <w:r>
              <w:rPr>
                <w:rFonts w:ascii="Calibri" w:hAnsi="Calibri"/>
                <w:sz w:val="22"/>
              </w:rPr>
              <w:t>$2.050</w:t>
            </w:r>
          </w:p>
        </w:tc>
        <w:tc>
          <w:tcPr>
            <w:tcW w:type="dxa" w:w="1080"/>
          </w:tcPr>
          <w:p>
            <w:r>
              <w:rPr>
                <w:rFonts w:ascii="Calibri" w:hAnsi="Calibri"/>
                <w:sz w:val="22"/>
              </w:rPr>
              <w:t>-0.1%</w:t>
            </w:r>
          </w:p>
        </w:tc>
        <w:tc>
          <w:tcPr>
            <w:tcW w:type="dxa" w:w="1080"/>
          </w:tcPr>
          <w:p>
            <w:r>
              <w:rPr>
                <w:rFonts w:ascii="Calibri" w:hAnsi="Calibri"/>
                <w:sz w:val="22"/>
              </w:rPr>
              <w:t>$1.86–$2.15</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+2.2% vs. $2.005 mid</w:t>
            </w:r>
          </w:p>
        </w:tc>
      </w:tr>
      <w:tr>
        <w:tc>
          <w:tcPr>
            <w:tcW w:type="dxa" w:w="1080"/>
          </w:tcPr>
          <w:p>
            <w:r>
              <w:rPr>
                <w:rFonts w:ascii="Calibri" w:hAnsi="Calibri"/>
                <w:sz w:val="22"/>
              </w:rPr>
              <w:t>Non-GAAP Gross Profit — Q2 2026</w:t>
            </w:r>
          </w:p>
        </w:tc>
        <w:tc>
          <w:tcPr>
            <w:tcW w:type="dxa" w:w="1080"/>
          </w:tcPr>
          <w:p>
            <w:r>
              <w:rPr>
                <w:rFonts w:ascii="Calibri" w:hAnsi="Calibri"/>
                <w:sz w:val="22"/>
              </w:rPr>
              <w:t>$711.8M</w:t>
            </w:r>
          </w:p>
        </w:tc>
        <w:tc>
          <w:tcPr>
            <w:tcW w:type="dxa" w:w="1080"/>
          </w:tcPr>
          <w:p>
            <w:r>
              <w:rPr>
                <w:rFonts w:ascii="Calibri" w:hAnsi="Calibri"/>
                <w:sz w:val="22"/>
              </w:rPr>
              <w:t>$713.3M</w:t>
            </w:r>
          </w:p>
        </w:tc>
        <w:tc>
          <w:tcPr>
            <w:tcW w:type="dxa" w:w="1080"/>
          </w:tcPr>
          <w:p>
            <w:r>
              <w:rPr>
                <w:rFonts w:ascii="Calibri" w:hAnsi="Calibri"/>
                <w:sz w:val="22"/>
              </w:rPr>
              <w:t>+0.2%</w:t>
            </w:r>
          </w:p>
        </w:tc>
        <w:tc>
          <w:tcPr>
            <w:tcW w:type="dxa" w:w="1080"/>
          </w:tcPr>
          <w:p>
            <w:r>
              <w:rPr>
                <w:rFonts w:ascii="Calibri" w:hAnsi="Calibri"/>
                <w:sz w:val="22"/>
              </w:rPr>
              <w:t>58%–59% GM</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~+1.9% vs. implied mid</w:t>
            </w:r>
          </w:p>
        </w:tc>
      </w:tr>
      <w:tr>
        <w:tc>
          <w:tcPr>
            <w:tcW w:type="dxa" w:w="1080"/>
          </w:tcPr>
          <w:p>
            <w:r>
              <w:rPr>
                <w:rFonts w:ascii="Calibri" w:hAnsi="Calibri"/>
                <w:sz w:val="22"/>
              </w:rPr>
              <w:t>Net Revenue — FY 2026</w:t>
            </w:r>
          </w:p>
        </w:tc>
        <w:tc>
          <w:tcPr>
            <w:tcW w:type="dxa" w:w="1080"/>
          </w:tcPr>
          <w:p>
            <w:r>
              <w:rPr>
                <w:rFonts w:ascii="Calibri" w:hAnsi="Calibri"/>
                <w:sz w:val="22"/>
              </w:rPr>
              <w:t>$4,494.1M</w:t>
            </w:r>
          </w:p>
        </w:tc>
        <w:tc>
          <w:tcPr>
            <w:tcW w:type="dxa" w:w="1080"/>
          </w:tcPr>
          <w:p>
            <w:r>
              <w:rPr>
                <w:rFonts w:ascii="Calibri" w:hAnsi="Calibri"/>
                <w:sz w:val="22"/>
              </w:rPr>
              <w:t>$4,513.3M</w:t>
            </w:r>
          </w:p>
        </w:tc>
        <w:tc>
          <w:tcPr>
            <w:tcW w:type="dxa" w:w="1080"/>
          </w:tcPr>
          <w:p>
            <w:r>
              <w:rPr>
                <w:rFonts w:ascii="Calibri" w:hAnsi="Calibri"/>
                <w:sz w:val="22"/>
              </w:rPr>
              <w:t>+0.4%</w:t>
            </w:r>
          </w:p>
        </w:tc>
        <w:tc>
          <w:tcPr>
            <w:tcW w:type="dxa" w:w="1080"/>
          </w:tcPr>
          <w:p>
            <w:r>
              <w:rPr>
                <w:rFonts w:ascii="Calibri" w:hAnsi="Calibri"/>
                <w:sz w:val="22"/>
              </w:rPr>
              <w:t>55%–60% H1 weighting (no FY $ guidance)</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Non-GAAP EPS — FY 2026</w:t>
            </w:r>
          </w:p>
        </w:tc>
        <w:tc>
          <w:tcPr>
            <w:tcW w:type="dxa" w:w="1080"/>
          </w:tcPr>
          <w:p>
            <w:r>
              <w:rPr>
                <w:rFonts w:ascii="Calibri" w:hAnsi="Calibri"/>
                <w:sz w:val="22"/>
              </w:rPr>
              <w:t>$7.221</w:t>
            </w:r>
          </w:p>
        </w:tc>
        <w:tc>
          <w:tcPr>
            <w:tcW w:type="dxa" w:w="1080"/>
          </w:tcPr>
          <w:p>
            <w:r>
              <w:rPr>
                <w:rFonts w:ascii="Calibri" w:hAnsi="Calibri"/>
                <w:sz w:val="22"/>
              </w:rPr>
              <w:t>$7.389</w:t>
            </w:r>
          </w:p>
        </w:tc>
        <w:tc>
          <w:tcPr>
            <w:tcW w:type="dxa" w:w="1080"/>
          </w:tcPr>
          <w:p>
            <w:r>
              <w:rPr>
                <w:rFonts w:ascii="Calibri" w:hAnsi="Calibri"/>
                <w:sz w:val="22"/>
              </w:rPr>
              <w:t>+2.3%</w:t>
            </w:r>
          </w:p>
        </w:tc>
        <w:tc>
          <w:tcPr>
            <w:tcW w:type="dxa" w:w="1080"/>
          </w:tcPr>
          <w:p>
            <w:r>
              <w:rPr>
                <w:rFonts w:ascii="Calibri" w:hAnsi="Calibri"/>
                <w:sz w:val="22"/>
              </w:rPr>
              <w:t>No FY EPS guidance provided</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Net Revenue — FY 2027</w:t>
            </w:r>
          </w:p>
        </w:tc>
        <w:tc>
          <w:tcPr>
            <w:tcW w:type="dxa" w:w="1080"/>
          </w:tcPr>
          <w:p>
            <w:r>
              <w:rPr>
                <w:rFonts w:ascii="Calibri" w:hAnsi="Calibri"/>
                <w:sz w:val="22"/>
              </w:rPr>
              <w:t>$5,423.7M</w:t>
            </w:r>
          </w:p>
        </w:tc>
        <w:tc>
          <w:tcPr>
            <w:tcW w:type="dxa" w:w="1080"/>
          </w:tcPr>
          <w:p>
            <w:r>
              <w:rPr>
                <w:rFonts w:ascii="Calibri" w:hAnsi="Calibri"/>
                <w:sz w:val="22"/>
              </w:rPr>
              <w:t>$5,541.3M</w:t>
            </w:r>
          </w:p>
        </w:tc>
        <w:tc>
          <w:tcPr>
            <w:tcW w:type="dxa" w:w="1080"/>
          </w:tcPr>
          <w:p>
            <w:r>
              <w:rPr>
                <w:rFonts w:ascii="Calibri" w:hAnsi="Calibri"/>
                <w:sz w:val="22"/>
              </w:rPr>
              <w:t>+2.2%</w:t>
            </w:r>
          </w:p>
        </w:tc>
        <w:tc>
          <w:tcPr>
            <w:tcW w:type="dxa" w:w="1080"/>
          </w:tcPr>
          <w:p>
            <w:r>
              <w:rPr>
                <w:rFonts w:ascii="Calibri" w:hAnsi="Calibri"/>
                <w:sz w:val="22"/>
              </w:rPr>
              <w:t>No FY 2027 guidance</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Non-GAAP EPS — FY 2027</w:t>
            </w:r>
          </w:p>
        </w:tc>
        <w:tc>
          <w:tcPr>
            <w:tcW w:type="dxa" w:w="1080"/>
          </w:tcPr>
          <w:p>
            <w:r>
              <w:rPr>
                <w:rFonts w:ascii="Calibri" w:hAnsi="Calibri"/>
                <w:sz w:val="22"/>
              </w:rPr>
              <w:t>$9.542</w:t>
            </w:r>
          </w:p>
        </w:tc>
        <w:tc>
          <w:tcPr>
            <w:tcW w:type="dxa" w:w="1080"/>
          </w:tcPr>
          <w:p>
            <w:r>
              <w:rPr>
                <w:rFonts w:ascii="Calibri" w:hAnsi="Calibri"/>
                <w:sz w:val="22"/>
              </w:rPr>
              <w:t>$10.054</w:t>
            </w:r>
          </w:p>
        </w:tc>
        <w:tc>
          <w:tcPr>
            <w:tcW w:type="dxa" w:w="1080"/>
          </w:tcPr>
          <w:p>
            <w:r>
              <w:rPr>
                <w:rFonts w:ascii="Calibri" w:hAnsi="Calibri"/>
                <w:sz w:val="22"/>
              </w:rPr>
              <w:t>+5.4%</w:t>
            </w:r>
          </w:p>
        </w:tc>
        <w:tc>
          <w:tcPr>
            <w:tcW w:type="dxa" w:w="1080"/>
          </w:tcPr>
          <w:p>
            <w:r>
              <w:rPr>
                <w:rFonts w:ascii="Calibri" w:hAnsi="Calibri"/>
                <w:sz w:val="22"/>
              </w:rPr>
              <w:t>No FY 2027 guidance</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bl>
    <w:p>
      <w:r>
        <w:rPr>
          <w:rFonts w:ascii="Calibri" w:hAnsi="Calibri"/>
          <w:color w:val="525866"/>
          <w:sz w:val="22"/>
        </w:rPr>
        <w:t>Source: Visible Alpha Consensus and Actuals Data. Post-Q1 baseline as of May 5, 2026 (5 trading days after April 28 earnings). The near-zero revision in Q2 estimates signals the Street has fully priced in guidance; any upside would require a revenue print above $1.25B or EPS above $2.15.</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TER dramatically underperformed both SOXX and SPY since the Q1 2026 earnings date — the stock surged to a peak of ~+27% (indexed) on June 30 before reversing sharply to -12% vs. the pre-earnings close, driven by multiple compression as second-half visibility concerns and merchant GPU timing uncertainty weighed on sentiment.</w:t>
      </w:r>
    </w:p>
    <w:p>
      <w:r>
        <w:drawing>
          <wp:inline xmlns:a="http://schemas.openxmlformats.org/drawingml/2006/main" xmlns:pic="http://schemas.openxmlformats.org/drawingml/2006/picture">
            <wp:extent cx="5943600" cy="4245429"/>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5943600" cy="4245429"/>
                    </a:xfrm>
                    <a:prstGeom prst="rect"/>
                  </pic:spPr>
                </pic:pic>
              </a:graphicData>
            </a:graphic>
          </wp:inline>
        </w:drawing>
      </w:r>
    </w:p>
    <w:p>
      <w:pPr>
        <w:jc w:val="center"/>
      </w:pPr>
      <w:r>
        <w:rPr>
          <w:i/>
          <w:color w:val="666666"/>
          <w:sz w:val="18"/>
        </w:rPr>
        <w:t>TER vs. SOXX vs. S&amp;P 500 — Indexed to 100 at April 28, 2026 (Q1 2026 Earnings Date). Sector ETF: SOXX (iShares Semiconductor ETF). Source: Stock Price Data.</w:t>
      </w:r>
    </w:p>
    <w:p>
      <w:r>
        <w:rPr>
          <w:rFonts w:ascii="Calibri" w:hAnsi="Calibri"/>
          <w:b/>
          <w:color w:val="525866"/>
          <w:sz w:val="22"/>
        </w:rPr>
        <w:t xml:space="preserve">Performance Summary (April 28 – July 28, 2026): </w:t>
      </w:r>
      <w:r>
        <w:rPr>
          <w:rFonts w:ascii="Calibri" w:hAnsi="Calibri"/>
          <w:color w:val="525866"/>
          <w:sz w:val="22"/>
        </w:rPr>
        <w:t>TER closed at $380.13 on April 28 (last earnings date). The stock fell sharply to $306.33 on April 29 (-19.4% on the day) as Q2 guidance straddled consensus and management widened the first-half revenue range. TER then recovered strongly, peaking at $483.84 on June 30 (+27.3% vs. the April 28 close), before reversing sharply. As of July 28, TER trades at $334.77, down -11.9% from the April 28 close. Over the same period, SOXX gained +17.7% and SPY gained +3.8%, leaving TER as a significant underperformer. The June 30 peak coincided with broad semiconductor strength; the subsequent selloff appears driven by a combination of second-half demand uncertainty, merchant GPU timing risk, and profit-taking after the sharp recovery. The stock's current level implies a forward P/E in the mid-30s — still a premium to the sector but meaningfully below the mid-40s peak, reducing the downside risk from a miss while also capping upside on an in-line print.</w:t>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The most important development since Q1 earnings is the June 2 BofA conference disclosure that management is explicitly willing to accept networking share risk at the merchant GPU customer in exchange for compute upside — a candid acknowledgment of competitive trade-offs that the market had not fully priced in.</w:t>
      </w:r>
    </w:p>
    <w:p>
      <w:pPr>
        <w:pStyle w:val="ListBullet"/>
        <w:ind w:left="360" w:hanging="360"/>
      </w:pPr>
      <w:r>
        <w:rPr>
          <w:rFonts w:ascii="Calibri" w:hAnsi="Calibri"/>
          <w:b/>
          <w:color w:val="525866"/>
          <w:sz w:val="22"/>
        </w:rPr>
        <w:t>April 28, 2026 — Q1 2026 Record Results &amp; Q2 Guidance:</w:t>
      </w:r>
      <w:r>
        <w:rPr>
          <w:rFonts w:ascii="Calibri" w:hAnsi="Calibri"/>
          <w:color w:val="525866"/>
          <w:sz w:val="22"/>
        </w:rPr>
        <w:t xml:space="preserve"> TER reported record revenue of $1.28B (+87% YoY) and non-GAAP EPS of $2.56, both well above consensus. Q2 guidance of $1.15B–$1.25B revenue and $1.86–$2.15 EPS straddled consensus; stock fell ~19% on the day. First multi-system production orders for merchant GPU received in Q1, with shipment and installation expected in Q2. </w:t>
      </w:r>
      <w:r>
        <w:rPr>
          <w:rFonts w:ascii="Calibri" w:hAnsi="Calibri"/>
          <w:b/>
          <w:color w:val="525866"/>
          <w:sz w:val="22"/>
        </w:rPr>
        <w:t>Implication:</w:t>
      </w:r>
      <w:r>
        <w:rPr>
          <w:rFonts w:ascii="Calibri" w:hAnsi="Calibri"/>
          <w:color w:val="525866"/>
          <w:sz w:val="22"/>
        </w:rPr>
        <w:t xml:space="preserve"> Sets a high bar for Q2 but also confirms the AI demand cycle is intact.</w:t>
      </w:r>
    </w:p>
    <w:p>
      <w:pPr>
        <w:pStyle w:val="ListBullet"/>
        <w:ind w:left="360" w:hanging="360"/>
      </w:pPr>
      <w:r>
        <w:rPr>
          <w:rFonts w:ascii="Calibri" w:hAnsi="Calibri"/>
          <w:b/>
          <w:color w:val="525866"/>
          <w:sz w:val="22"/>
        </w:rPr>
        <w:t>April 8 &amp; 16, 2026 — Two Acquisitions Closed:</w:t>
      </w:r>
      <w:r>
        <w:rPr>
          <w:rFonts w:ascii="Calibri" w:hAnsi="Calibri"/>
          <w:color w:val="525866"/>
          <w:sz w:val="22"/>
        </w:rPr>
        <w:t xml:space="preserve"> Multi-Lane Test Products JV (closed April 8, consolidated into Product Test group) and Test Insight (closed April 16, test development tools). Both funded via credit revolver. </w:t>
      </w:r>
      <w:r>
        <w:rPr>
          <w:rFonts w:ascii="Calibri" w:hAnsi="Calibri"/>
          <w:b/>
          <w:color w:val="525866"/>
          <w:sz w:val="22"/>
        </w:rPr>
        <w:t>Implication:</w:t>
      </w:r>
      <w:r>
        <w:rPr>
          <w:rFonts w:ascii="Calibri" w:hAnsi="Calibri"/>
          <w:color w:val="525866"/>
          <w:sz w:val="22"/>
        </w:rPr>
        <w:t xml:space="preserve"> Accelerating inorganic strategy aligned with wafer-to-data-center thesis; modest near-term dilution from integration costs.</w:t>
      </w:r>
    </w:p>
    <w:p>
      <w:pPr>
        <w:pStyle w:val="ListBullet"/>
        <w:ind w:left="360" w:hanging="360"/>
      </w:pPr>
      <w:r>
        <w:rPr>
          <w:rFonts w:ascii="Calibri" w:hAnsi="Calibri"/>
          <w:b/>
          <w:color w:val="525866"/>
          <w:sz w:val="22"/>
        </w:rPr>
        <w:t>May 11, 2026 — Annual Shareholder Meeting:</w:t>
      </w:r>
      <w:r>
        <w:rPr>
          <w:rFonts w:ascii="Calibri" w:hAnsi="Calibri"/>
          <w:color w:val="525866"/>
          <w:sz w:val="22"/>
        </w:rPr>
        <w:t xml:space="preserve"> Directors elected, executive pay and auditor approved. No material business updates. Routine governance event.</w:t>
      </w:r>
    </w:p>
    <w:p>
      <w:pPr>
        <w:pStyle w:val="ListBullet"/>
        <w:ind w:left="360" w:hanging="360"/>
      </w:pPr>
      <w:r>
        <w:rPr>
          <w:rFonts w:ascii="Calibri" w:hAnsi="Calibri"/>
          <w:b/>
          <w:color w:val="525866"/>
          <w:sz w:val="22"/>
        </w:rPr>
        <w:t>June 2, 2026 — BofA Global Technology Conference (CEO Greg Smith):</w:t>
      </w:r>
      <w:r>
        <w:rPr>
          <w:rFonts w:ascii="Calibri" w:hAnsi="Calibri"/>
          <w:color w:val="525866"/>
          <w:sz w:val="22"/>
        </w:rPr>
        <w:t xml:space="preserve"> Most significant post-earnings event. Key disclosures: (1) Management explicitly stated willingness to accept downside risk to networking share at the merchant GPU customer in exchange for compute upside; (2) Confirmed ~$100M of CPO test equipment expected to be purchased in 2026; (3) Reiterated $6B target model requires only low-double-digit GPU share; (4) ATE TAM could reach $20B if WFE reaches $250B. </w:t>
      </w:r>
      <w:r>
        <w:rPr>
          <w:rFonts w:ascii="Calibri" w:hAnsi="Calibri"/>
          <w:b/>
          <w:color w:val="525866"/>
          <w:sz w:val="22"/>
        </w:rPr>
        <w:t>Implication:</w:t>
      </w:r>
      <w:r>
        <w:rPr>
          <w:rFonts w:ascii="Calibri" w:hAnsi="Calibri"/>
          <w:color w:val="525866"/>
          <w:sz w:val="22"/>
        </w:rPr>
        <w:t xml:space="preserve"> Networking share risk at the key customer is now explicitly on the table — a new risk factor not previously articulated.</w:t>
      </w:r>
    </w:p>
    <w:p>
      <w:pPr>
        <w:pStyle w:val="ListBullet"/>
        <w:ind w:left="360" w:hanging="360"/>
      </w:pPr>
      <w:r>
        <w:rPr>
          <w:rFonts w:ascii="Calibri" w:hAnsi="Calibri"/>
          <w:b/>
          <w:color w:val="525866"/>
          <w:sz w:val="22"/>
        </w:rPr>
        <w:t>June 30, 2026 — TER Stock Peaks at $483.84:</w:t>
      </w:r>
      <w:r>
        <w:rPr>
          <w:rFonts w:ascii="Calibri" w:hAnsi="Calibri"/>
          <w:color w:val="525866"/>
          <w:sz w:val="22"/>
        </w:rPr>
        <w:t xml:space="preserve"> Stock reached its post-earnings high (+27% vs. April 28 close) amid broad semiconductor strength driven by NVDA and AVGO AI demand commentary. </w:t>
      </w:r>
      <w:r>
        <w:rPr>
          <w:rFonts w:ascii="Calibri" w:hAnsi="Calibri"/>
          <w:b/>
          <w:color w:val="525866"/>
          <w:sz w:val="22"/>
        </w:rPr>
        <w:t>Implication:</w:t>
      </w:r>
      <w:r>
        <w:rPr>
          <w:rFonts w:ascii="Calibri" w:hAnsi="Calibri"/>
          <w:color w:val="525866"/>
          <w:sz w:val="22"/>
        </w:rPr>
        <w:t xml:space="preserve"> The subsequent reversal to ~$335 suggests the market is now pricing in second-half uncertainty rather than first-half momentum.</w:t>
      </w:r>
    </w:p>
    <w:p>
      <w:pPr>
        <w:pStyle w:val="ListBullet"/>
        <w:ind w:left="360" w:hanging="360"/>
      </w:pPr>
      <w:r>
        <w:rPr>
          <w:rFonts w:ascii="Calibri" w:hAnsi="Calibri"/>
          <w:b/>
          <w:color w:val="525866"/>
          <w:sz w:val="22"/>
        </w:rPr>
        <w:t>July 14, 2026 — Q2 2026 Earnings Date Announced:</w:t>
      </w:r>
      <w:r>
        <w:rPr>
          <w:rFonts w:ascii="Calibri" w:hAnsi="Calibri"/>
          <w:color w:val="525866"/>
          <w:sz w:val="22"/>
        </w:rPr>
        <w:t xml:space="preserve"> Teradyne confirmed it will report Q2 2026 results on July 29, 2026 (after market close). No pre-announcement or guidance update accompanied the announcement. </w:t>
      </w:r>
      <w:r>
        <w:rPr>
          <w:rFonts w:ascii="Calibri" w:hAnsi="Calibri"/>
          <w:b/>
          <w:color w:val="525866"/>
          <w:sz w:val="22"/>
        </w:rPr>
        <w:t>Implication:</w:t>
      </w:r>
      <w:r>
        <w:rPr>
          <w:rFonts w:ascii="Calibri" w:hAnsi="Calibri"/>
          <w:color w:val="525866"/>
          <w:sz w:val="22"/>
        </w:rPr>
        <w:t xml:space="preserve"> Absence of a pre-announcement is neutral — no negative surprise flagged.</w:t>
      </w:r>
    </w:p>
    <w:p>
      <w:pPr>
        <w:pStyle w:val="ListBullet"/>
        <w:ind w:left="360" w:hanging="360"/>
      </w:pPr>
      <w:r>
        <w:rPr>
          <w:rFonts w:ascii="Calibri" w:hAnsi="Calibri"/>
          <w:b/>
          <w:color w:val="525866"/>
          <w:sz w:val="22"/>
        </w:rPr>
        <w:t>Ongoing — Merchant GPU Production Ramp:</w:t>
      </w:r>
      <w:r>
        <w:rPr>
          <w:rFonts w:ascii="Calibri" w:hAnsi="Calibri"/>
          <w:color w:val="525866"/>
          <w:sz w:val="22"/>
        </w:rPr>
        <w:t xml:space="preserve"> Management guided for systems to ship, be installed, and enter production in Q2 2026. Revenue recognition depends on customer acceptance. Any slip in timing would be the single largest negative surprise for the quarter. </w:t>
      </w:r>
      <w:r>
        <w:rPr>
          <w:rFonts w:ascii="Calibri" w:hAnsi="Calibri"/>
          <w:b/>
          <w:color w:val="525866"/>
          <w:sz w:val="22"/>
        </w:rPr>
        <w:t>Implication:</w:t>
      </w:r>
      <w:r>
        <w:rPr>
          <w:rFonts w:ascii="Calibri" w:hAnsi="Calibri"/>
          <w:color w:val="525866"/>
          <w:sz w:val="22"/>
        </w:rPr>
        <w:t xml:space="preserve"> Watch for explicit commentary on merchant GPU revenue recognized in Q2 vs. deferred to Q3.</w:t>
      </w:r>
    </w:p>
    <w:p>
      <w:pPr>
        <w:pStyle w:val="ListBullet"/>
        <w:ind w:left="360" w:hanging="360"/>
      </w:pPr>
      <w:r>
        <w:rPr>
          <w:rFonts w:ascii="Calibri" w:hAnsi="Calibri"/>
          <w:b/>
          <w:color w:val="525866"/>
          <w:sz w:val="22"/>
        </w:rPr>
        <w:t>Ongoing — New Product Launches (Q1 2026):</w:t>
      </w:r>
      <w:r>
        <w:rPr>
          <w:rFonts w:ascii="Calibri" w:hAnsi="Calibri"/>
          <w:color w:val="525866"/>
          <w:sz w:val="22"/>
        </w:rPr>
        <w:t xml:space="preserve"> Photon 100 (silicon photonics/CPO testing platform based on UltraFLEX Plus) and Omnyx (production board test for AI server boards) both launched in Q1. </w:t>
      </w:r>
      <w:r>
        <w:rPr>
          <w:rFonts w:ascii="Calibri" w:hAnsi="Calibri"/>
          <w:b/>
          <w:color w:val="525866"/>
          <w:sz w:val="22"/>
        </w:rPr>
        <w:t>Implication:</w:t>
      </w:r>
      <w:r>
        <w:rPr>
          <w:rFonts w:ascii="Calibri" w:hAnsi="Calibri"/>
          <w:color w:val="525866"/>
          <w:sz w:val="22"/>
        </w:rPr>
        <w:t xml:space="preserve"> CPO revenue expected ~$100M in 2026; Omnyx targets AI data center build-out defect detection — both represent incremental TAM expansion.</w:t>
      </w:r>
    </w:p>
    <w:p>
      <w:r>
        <w:br w:type="page"/>
      </w:r>
    </w:p>
    <w:p>
      <w:pPr>
        <w:pStyle w:val="Heading2"/>
      </w:pPr>
      <w:r>
        <w:rPr>
          <w:rFonts w:ascii="Calibri" w:hAnsi="Calibri"/>
          <w:b/>
          <w:color w:val="3B4259"/>
          <w:sz w:val="28"/>
        </w:rPr>
        <w:t>7. Peer Commentaries — Read-Through for Q2 2026</w:t>
      </w:r>
    </w:p>
    <w:p>
      <w:r>
        <w:rPr>
          <w:rFonts w:ascii="Calibri" w:hAnsi="Calibri"/>
          <w:b/>
          <w:color w:val="525866"/>
          <w:sz w:val="22"/>
        </w:rPr>
        <w:t xml:space="preserve">Key Takeaway: </w:t>
      </w:r>
      <w:r>
        <w:rPr>
          <w:rFonts w:ascii="Calibri" w:hAnsi="Calibri"/>
          <w:color w:val="525866"/>
          <w:sz w:val="22"/>
        </w:rPr>
        <w:t>Peer commentary since TER's Q1 2026 earnings (April 28) is broadly constructive for TER's Q2 print — AVGO's record AI semiconductor demand, AMAT's 30%+ equipment growth, FORM's record HBM probe card revenue, and COHU's 163% YoY compute order growth all point to sustained AI infrastructure spending. The one cautionary note is FORM's acknowledgment of first-half seasonality in networking and HBM, which could weigh on TER's networking segment in the back half.</w:t>
      </w:r>
    </w:p>
    <w:p>
      <w:r>
        <w:rPr>
          <w:rFonts w:ascii="Calibri" w:hAnsi="Calibri"/>
          <w:b/>
          <w:color w:val="525866"/>
          <w:sz w:val="22"/>
        </w:rPr>
        <w:t xml:space="preserve">Note: </w:t>
      </w:r>
      <w:r>
        <w:rPr>
          <w:rFonts w:ascii="Calibri" w:hAnsi="Calibri"/>
          <w:color w:val="525866"/>
          <w:sz w:val="22"/>
        </w:rPr>
        <w:t>Only commentary from events after April 28, 2026 (TER's last earnings date) that speaks to current-quarter (Q2 2026) or forward demand conditions is included below. Prior-quarter results commentary is excluded.</w:t>
      </w:r>
    </w:p>
    <w:p>
      <w:pPr>
        <w:pStyle w:val="ListBullet"/>
        <w:ind w:left="360" w:hanging="360"/>
      </w:pPr>
      <w:r>
        <w:rPr>
          <w:rFonts w:ascii="Calibri" w:hAnsi="Calibri"/>
          <w:b/>
          <w:color w:val="525866"/>
          <w:sz w:val="22"/>
        </w:rPr>
        <w:t xml:space="preserve">Broadcom (AVGO) — Q2 FY2026 Earnings (June 3, 2026) — </w:t>
      </w:r>
      <w:r>
        <w:rPr>
          <w:rFonts w:ascii="Calibri" w:hAnsi="Calibri"/>
          <w:b/>
          <w:color w:val="30A46C"/>
          <w:sz w:val="22"/>
        </w:rPr>
        <w:t>STRONGLY POSITIVE READ-THROUGH.</w:t>
      </w:r>
      <w:r>
        <w:rPr>
          <w:rFonts w:ascii="Calibri" w:hAnsi="Calibri"/>
          <w:color w:val="525866"/>
          <w:sz w:val="22"/>
        </w:rPr>
        <w:t xml:space="preserve"> AVGO reported record AI semiconductor revenue of $10.8B in Q2 (+143% YoY), with bookings for AI semiconductors exceeding $30B in the quarter against $10.8B shipped — a 2.8x book-to-bill that signals demand is accelerating, not decelerating. Q3 AI semiconductor revenue guided to $16B (+200%+ YoY). Networking represented ~40% of Q2 AI revenue. Management stated demand for XPUs and networking is 'simply insatiable' and reiterated FY2026 AI semiconductor revenue guidance of $56B (+180% YoY). Visibility now extends to 2028. </w:t>
      </w:r>
      <w:r>
        <w:rPr>
          <w:rFonts w:ascii="Calibri" w:hAnsi="Calibri"/>
          <w:b/>
          <w:color w:val="525866"/>
          <w:sz w:val="22"/>
        </w:rPr>
        <w:t>TER Read-Through:</w:t>
      </w:r>
      <w:r>
        <w:rPr>
          <w:rFonts w:ascii="Calibri" w:hAnsi="Calibri"/>
          <w:color w:val="525866"/>
          <w:sz w:val="22"/>
        </w:rPr>
        <w:t xml:space="preserve"> AVGO's AI semiconductor demand directly drives TER's VIP compute and networking test equipment demand. The $30B+ in AI bookings vs. $10.8B shipped implies a significant production ramp ahead — highly positive for TER's SoC and networking test revenue in Q2 and beyond. The 40% networking mix in AI revenue is a direct positive for TER's networking test segment.</w:t>
      </w:r>
    </w:p>
    <w:p>
      <w:pPr>
        <w:pStyle w:val="ListBullet"/>
        <w:ind w:left="360" w:hanging="360"/>
      </w:pPr>
      <w:r>
        <w:rPr>
          <w:rFonts w:ascii="Calibri" w:hAnsi="Calibri"/>
          <w:b/>
          <w:color w:val="525866"/>
          <w:sz w:val="22"/>
        </w:rPr>
        <w:t xml:space="preserve">Applied Materials (AMAT) — Q2 FY2026 Earnings (May 14, 2026) — </w:t>
      </w:r>
      <w:r>
        <w:rPr>
          <w:rFonts w:ascii="Calibri" w:hAnsi="Calibri"/>
          <w:b/>
          <w:color w:val="30A46C"/>
          <w:sz w:val="22"/>
        </w:rPr>
        <w:t>POSITIVE READ-THROUGH.</w:t>
      </w:r>
      <w:r>
        <w:rPr>
          <w:rFonts w:ascii="Calibri" w:hAnsi="Calibri"/>
          <w:color w:val="525866"/>
          <w:sz w:val="22"/>
        </w:rPr>
        <w:t xml:space="preserve"> AMAT raised its semiconductor equipment growth outlook to 30%+ for calendar 2026, citing incremental customer requests for equipment deliveries. Customers are providing rolling 8-quarter forecasts. Leading-edge foundry logic, DRAM, and advanced packaging expected to account for 80%+ of YoY WFE growth in 2026 and 2027. DRAM revenue grew 18% YoY to $1.7B. Advanced packaging revenue expected to grow 50%+ in 2026. Q3 guidance: revenue $8.95B (+23% YoY), non-GAAP EPS $3.36 (+36% YoY). </w:t>
      </w:r>
      <w:r>
        <w:rPr>
          <w:rFonts w:ascii="Calibri" w:hAnsi="Calibri"/>
          <w:b/>
          <w:color w:val="525866"/>
          <w:sz w:val="22"/>
        </w:rPr>
        <w:t>TER Read-Through:</w:t>
      </w:r>
      <w:r>
        <w:rPr>
          <w:rFonts w:ascii="Calibri" w:hAnsi="Calibri"/>
          <w:color w:val="525866"/>
          <w:sz w:val="22"/>
        </w:rPr>
        <w:t xml:space="preserve"> AMAT's 30%+ equipment growth and 8-quarter customer visibility confirm the AI capex cycle is durable and broad-based. Strong DRAM and advanced packaging demand is a direct positive for TER's memory test and SoC test segments. AMAT's commentary on 100+ factory projects globally supports sustained test equipment demand.</w:t>
      </w:r>
    </w:p>
    <w:p>
      <w:pPr>
        <w:pStyle w:val="ListBullet"/>
        <w:ind w:left="360" w:hanging="360"/>
      </w:pPr>
      <w:r>
        <w:rPr>
          <w:rFonts w:ascii="Calibri" w:hAnsi="Calibri"/>
          <w:b/>
          <w:color w:val="525866"/>
          <w:sz w:val="22"/>
        </w:rPr>
        <w:t xml:space="preserve">Applied Materials (AMAT) — Bernstein Conference (May 28, 2026) — </w:t>
      </w:r>
      <w:r>
        <w:rPr>
          <w:rFonts w:ascii="Calibri" w:hAnsi="Calibri"/>
          <w:b/>
          <w:color w:val="30A46C"/>
          <w:sz w:val="22"/>
        </w:rPr>
        <w:t>POSITIVE READ-THROUGH.</w:t>
      </w:r>
      <w:r>
        <w:rPr>
          <w:rFonts w:ascii="Calibri" w:hAnsi="Calibri"/>
          <w:color w:val="525866"/>
          <w:sz w:val="22"/>
        </w:rPr>
        <w:t xml:space="preserve"> Management described AI as 'the biggest technology inflection of our lifetimes' and confirmed semiconductor equipment business growing 30%+ in 2026. HBM DRAM requires 3–4x the wafer starts of standard DRAM due to stacking and yield loss, driving 'extremely high' DRAM demand. WFE market on its way to $200B. Data center wafer starts expected to surpass smartphone wafer starts in 2027. </w:t>
      </w:r>
      <w:r>
        <w:rPr>
          <w:rFonts w:ascii="Calibri" w:hAnsi="Calibri"/>
          <w:b/>
          <w:color w:val="525866"/>
          <w:sz w:val="22"/>
        </w:rPr>
        <w:t>TER Read-Through:</w:t>
      </w:r>
      <w:r>
        <w:rPr>
          <w:rFonts w:ascii="Calibri" w:hAnsi="Calibri"/>
          <w:color w:val="525866"/>
          <w:sz w:val="22"/>
        </w:rPr>
        <w:t xml:space="preserve"> The 3–4x wafer intensity for HBM vs. standard DRAM directly supports TER's memory test TAM expansion thesis. The shift of data center wafer starts above smartphone is a structural positive for TER's AI-driven revenue mix.</w:t>
      </w:r>
    </w:p>
    <w:p>
      <w:pPr>
        <w:pStyle w:val="ListBullet"/>
        <w:ind w:left="360" w:hanging="360"/>
      </w:pPr>
      <w:r>
        <w:rPr>
          <w:rFonts w:ascii="Calibri" w:hAnsi="Calibri"/>
          <w:b/>
          <w:color w:val="525866"/>
          <w:sz w:val="22"/>
        </w:rPr>
        <w:t xml:space="preserve">Applied Materials (AMAT) — DRAM &amp; Advanced Packaging Master Class (June 25, 2026) — </w:t>
      </w:r>
      <w:r>
        <w:rPr>
          <w:rFonts w:ascii="Calibri" w:hAnsi="Calibri"/>
          <w:b/>
          <w:color w:val="30A46C"/>
          <w:sz w:val="22"/>
        </w:rPr>
        <w:t>POSITIVE READ-THROUGH.</w:t>
      </w:r>
      <w:r>
        <w:rPr>
          <w:rFonts w:ascii="Calibri" w:hAnsi="Calibri"/>
          <w:color w:val="525866"/>
          <w:sz w:val="22"/>
        </w:rPr>
        <w:t xml:space="preserve"> AI driving semiconductor industry to ~$1 trillion in 2026. HBM growing rapidly, helping expand AMAT's advanced packaging business by 50%+. HBM4 introduces wider 2048-bit interface, doubling channel count, and tighter TSV pitch — increasing test intensity by 25–30% vs. HBM3. DRAM WFE spending expected to be well over 2x NAND spending. </w:t>
      </w:r>
      <w:r>
        <w:rPr>
          <w:rFonts w:ascii="Calibri" w:hAnsi="Calibri"/>
          <w:b/>
          <w:color w:val="525866"/>
          <w:sz w:val="22"/>
        </w:rPr>
        <w:t>TER Read-Through:</w:t>
      </w:r>
      <w:r>
        <w:rPr>
          <w:rFonts w:ascii="Calibri" w:hAnsi="Calibri"/>
          <w:color w:val="525866"/>
          <w:sz w:val="22"/>
        </w:rPr>
        <w:t xml:space="preserve"> HBM4 transition is a direct positive for TER's memory test revenue — higher test intensity per device means more test equipment needed per wafer start. The DRAM vs. NAND WFE mix shift confirms TER's memory test TAM is skewed toward the faster-growing segment.</w:t>
      </w:r>
    </w:p>
    <w:p>
      <w:pPr>
        <w:pStyle w:val="ListBullet"/>
        <w:ind w:left="360" w:hanging="360"/>
      </w:pPr>
      <w:r>
        <w:rPr>
          <w:rFonts w:ascii="Calibri" w:hAnsi="Calibri"/>
          <w:b/>
          <w:color w:val="525866"/>
          <w:sz w:val="22"/>
        </w:rPr>
        <w:t xml:space="preserve">FormFactor (FORM) — Q1 2026 Earnings (April 29, 2026) — </w:t>
      </w:r>
      <w:r>
        <w:rPr>
          <w:rFonts w:ascii="Calibri" w:hAnsi="Calibri"/>
          <w:b/>
          <w:color w:val="002FA7"/>
          <w:sz w:val="22"/>
        </w:rPr>
        <w:t>MIXED READ-THROUGH.</w:t>
      </w:r>
      <w:r>
        <w:rPr>
          <w:rFonts w:ascii="Calibri" w:hAnsi="Calibri"/>
          <w:color w:val="525866"/>
          <w:sz w:val="22"/>
        </w:rPr>
        <w:t xml:space="preserve"> FORM set another revenue record in Q1 and guided Q2 revenue to $240M ±$5M (+record again), with gross margin of 49.5% and EPS of $0.61. HBM probe card business grew 50%+ from H1 2025 to H1 2026. GPU probe card qualification at the world's largest foundry nearing completion, with $20M in H2 revenue expected. Networking drove a new 10% customer in Q1. However, management flagged first-half seasonality in networking and HBM — 'first half heavy, second half a little lighter.' </w:t>
      </w:r>
      <w:r>
        <w:rPr>
          <w:rFonts w:ascii="Calibri" w:hAnsi="Calibri"/>
          <w:b/>
          <w:color w:val="525866"/>
          <w:sz w:val="22"/>
        </w:rPr>
        <w:t>TER Read-Through:</w:t>
      </w:r>
      <w:r>
        <w:rPr>
          <w:rFonts w:ascii="Calibri" w:hAnsi="Calibri"/>
          <w:color w:val="525866"/>
          <w:sz w:val="22"/>
        </w:rPr>
        <w:t xml:space="preserve"> FORM's record HBM demand and GPU qualification progress are positive for TER's memory and SoC test segments. The first-half seasonality warning in networking and HBM is a cautionary note for TER's Q3/Q4 networking test revenue, though it does not directly impact Q2.</w:t>
      </w:r>
    </w:p>
    <w:p>
      <w:pPr>
        <w:pStyle w:val="ListBullet"/>
        <w:ind w:left="360" w:hanging="360"/>
      </w:pPr>
      <w:r>
        <w:rPr>
          <w:rFonts w:ascii="Calibri" w:hAnsi="Calibri"/>
          <w:b/>
          <w:color w:val="525866"/>
          <w:sz w:val="22"/>
        </w:rPr>
        <w:t xml:space="preserve">FormFactor (FORM) — Investor Day (May 11, 2026) — </w:t>
      </w:r>
      <w:r>
        <w:rPr>
          <w:rFonts w:ascii="Calibri" w:hAnsi="Calibri"/>
          <w:b/>
          <w:color w:val="30A46C"/>
          <w:sz w:val="22"/>
        </w:rPr>
        <w:t>POSITIVE READ-THROUGH.</w:t>
      </w:r>
      <w:r>
        <w:rPr>
          <w:rFonts w:ascii="Calibri" w:hAnsi="Calibri"/>
          <w:color w:val="525866"/>
          <w:sz w:val="22"/>
        </w:rPr>
        <w:t xml:space="preserve"> FORM plans to double revenue to $1.6B by 2030. Advanced probe card market expected to grow from $2.8B to $4B by 2030, driven by GPU, custom ASICs, networking, HBM, and DRAM. GPU probe card demand expected to ramp in H2 2026 with major GPU producers. HBM4 test intensity increases 25–30% vs. HBM3. Custom HBM (hyperscaler logic integrated into base die) creating new test insertions. </w:t>
      </w:r>
      <w:r>
        <w:rPr>
          <w:rFonts w:ascii="Calibri" w:hAnsi="Calibri"/>
          <w:b/>
          <w:color w:val="525866"/>
          <w:sz w:val="22"/>
        </w:rPr>
        <w:t>TER Read-Through:</w:t>
      </w:r>
      <w:r>
        <w:rPr>
          <w:rFonts w:ascii="Calibri" w:hAnsi="Calibri"/>
          <w:color w:val="525866"/>
          <w:sz w:val="22"/>
        </w:rPr>
        <w:t xml:space="preserve"> GPU probe card ramp in H2 2026 at major GPU producers is a positive leading indicator for TER's SoC test demand at the same customers. The custom HBM trend (more logic in base die) increases test complexity and supports TER's HBM test TAM expansion thesis.</w:t>
      </w:r>
    </w:p>
    <w:p>
      <w:pPr>
        <w:pStyle w:val="ListBullet"/>
        <w:ind w:left="360" w:hanging="360"/>
      </w:pPr>
      <w:r>
        <w:rPr>
          <w:rFonts w:ascii="Calibri" w:hAnsi="Calibri"/>
          <w:b/>
          <w:color w:val="525866"/>
          <w:sz w:val="22"/>
        </w:rPr>
        <w:t xml:space="preserve">Cohu (COHU) — Q1 2026 Earnings (April 30, 2026) — </w:t>
      </w:r>
      <w:r>
        <w:rPr>
          <w:rFonts w:ascii="Calibri" w:hAnsi="Calibri"/>
          <w:b/>
          <w:color w:val="30A46C"/>
          <w:sz w:val="22"/>
        </w:rPr>
        <w:t>STRONGLY POSITIVE READ-THROUGH.</w:t>
      </w:r>
      <w:r>
        <w:rPr>
          <w:rFonts w:ascii="Calibri" w:hAnsi="Calibri"/>
          <w:color w:val="525866"/>
          <w:sz w:val="22"/>
        </w:rPr>
        <w:t xml:space="preserve"> COHU reported orders up 57% YoY, with semiconductor test orders up 163% YoY and computing orders up 211% YoY. HPC revenue outlook raised to $80–$100M for FY2026 (from initial $25–30M). Q2 revenue guided to $144M (+15% QoQ, +34% YoY). Computing opportunity pipeline now ~$750M (12 customers, 5 in qualification). Demand spreading beyond GPU to CPU, ASIC, and accelerators as inference picks up. </w:t>
      </w:r>
      <w:r>
        <w:rPr>
          <w:rFonts w:ascii="Calibri" w:hAnsi="Calibri"/>
          <w:b/>
          <w:color w:val="525866"/>
          <w:sz w:val="22"/>
        </w:rPr>
        <w:t>TER Read-Through:</w:t>
      </w:r>
      <w:r>
        <w:rPr>
          <w:rFonts w:ascii="Calibri" w:hAnsi="Calibri"/>
          <w:color w:val="525866"/>
          <w:sz w:val="22"/>
        </w:rPr>
        <w:t xml:space="preserve"> COHU's 163% YoY semiconductor test order growth and 211% computing order growth confirm the AI test equipment demand cycle is accelerating broadly. The diversification of demand from GPU to CPU/ASIC/accelerators is consistent with TER's thesis on the second wave of AI hardware (inference-optimized silicon). COHU's HPC revenue raise from $25–30M to $80–$100M is a strong positive signal for the overall AI test equipment market.</w:t>
      </w:r>
    </w:p>
    <w:p>
      <w:pPr>
        <w:pStyle w:val="ListBullet"/>
        <w:ind w:left="360" w:hanging="360"/>
      </w:pPr>
      <w:r>
        <w:rPr>
          <w:rFonts w:ascii="Calibri" w:hAnsi="Calibri"/>
          <w:b/>
          <w:color w:val="525866"/>
          <w:sz w:val="22"/>
        </w:rPr>
        <w:t xml:space="preserve">Onto Innovation (ONTO) — Q1 2026 Earnings (May 5, 2026) — </w:t>
      </w:r>
      <w:r>
        <w:rPr>
          <w:rFonts w:ascii="Calibri" w:hAnsi="Calibri"/>
          <w:b/>
          <w:color w:val="30A46C"/>
          <w:sz w:val="22"/>
        </w:rPr>
        <w:t>POSITIVE READ-THROUGH.</w:t>
      </w:r>
      <w:r>
        <w:rPr>
          <w:rFonts w:ascii="Calibri" w:hAnsi="Calibri"/>
          <w:color w:val="525866"/>
          <w:sz w:val="22"/>
        </w:rPr>
        <w:t xml:space="preserve"> ONTO guided Q2 revenue to $320–$330M (+28% YoY, +10% above prior analyst expectations). Advanced nodes business expected to grow ~25% in 2026, ahead of WFE growth in the low 20s. Broad-based pull-ins of orders observed, not at the expense of 2027 numbers — 'a broader rising of the tide.' 2027 expected to look 'much stronger even than 2026.' </w:t>
      </w:r>
      <w:r>
        <w:rPr>
          <w:rFonts w:ascii="Calibri" w:hAnsi="Calibri"/>
          <w:b/>
          <w:color w:val="525866"/>
          <w:sz w:val="22"/>
        </w:rPr>
        <w:t>TER Read-Through:</w:t>
      </w:r>
      <w:r>
        <w:rPr>
          <w:rFonts w:ascii="Calibri" w:hAnsi="Calibri"/>
          <w:color w:val="525866"/>
          <w:sz w:val="22"/>
        </w:rPr>
        <w:t xml:space="preserve"> ONTO's pull-in commentary and 2027 optimism support TER's thesis that the AI capex cycle is durable. The 'rising tide' framing — pull-ins not cannibalizing future demand — is a positive signal for TER's order book and backlog heading into Q2.</w:t>
      </w:r>
    </w:p>
    <w:p>
      <w:pPr>
        <w:pStyle w:val="ListBullet"/>
        <w:ind w:left="360" w:hanging="360"/>
      </w:pPr>
      <w:r>
        <w:rPr>
          <w:rFonts w:ascii="Calibri" w:hAnsi="Calibri"/>
          <w:b/>
          <w:color w:val="525866"/>
          <w:sz w:val="22"/>
        </w:rPr>
        <w:t xml:space="preserve">Lam Research (LRCX) — Bernstein Conference (May 27, 2026) — </w:t>
      </w:r>
      <w:r>
        <w:rPr>
          <w:rFonts w:ascii="Calibri" w:hAnsi="Calibri"/>
          <w:b/>
          <w:color w:val="30A46C"/>
          <w:sz w:val="22"/>
        </w:rPr>
        <w:t>POSITIVE READ-THROUGH.</w:t>
      </w:r>
      <w:r>
        <w:rPr>
          <w:rFonts w:ascii="Calibri" w:hAnsi="Calibri"/>
          <w:color w:val="525866"/>
          <w:sz w:val="22"/>
        </w:rPr>
        <w:t xml:space="preserve"> LRCX described the capital equipment industry as having 'shifted into overdrive' as AI went mainstream. Advanced packaging business growing 50%+ in 2026. NAND upgrade cycle ($40B total) expected to be complete by end of 2027, with spending back-half weighted from current point. 2027 expected to be 'a year of compelling WFE growth.' Clean room constraints are the primary bottleneck, not demand. </w:t>
      </w:r>
      <w:r>
        <w:rPr>
          <w:rFonts w:ascii="Calibri" w:hAnsi="Calibri"/>
          <w:b/>
          <w:color w:val="525866"/>
          <w:sz w:val="22"/>
        </w:rPr>
        <w:t>TER Read-Through:</w:t>
      </w:r>
      <w:r>
        <w:rPr>
          <w:rFonts w:ascii="Calibri" w:hAnsi="Calibri"/>
          <w:color w:val="525866"/>
          <w:sz w:val="22"/>
        </w:rPr>
        <w:t xml:space="preserve"> LRCX's advanced packaging growth and NAND upgrade cycle commentary support TER's memory test TAM expansion. The back-half weighting of NAND spending is consistent with TER's guidance that memory test will be more back-half weighted in 2026, providing a potential Q3/Q4 tailwind.</w:t>
      </w:r>
    </w:p>
    <w:p>
      <w:pPr>
        <w:pStyle w:val="ListBullet"/>
        <w:ind w:left="360" w:hanging="360"/>
      </w:pPr>
      <w:r>
        <w:rPr>
          <w:rFonts w:ascii="Calibri" w:hAnsi="Calibri"/>
          <w:b/>
          <w:color w:val="525866"/>
          <w:sz w:val="22"/>
        </w:rPr>
        <w:t xml:space="preserve">Axcelis Technologies (ACLS) — Q1 2026 Earnings (May 7, 2026) — </w:t>
      </w:r>
      <w:r>
        <w:rPr>
          <w:rFonts w:ascii="Calibri" w:hAnsi="Calibri"/>
          <w:b/>
          <w:color w:val="002FA7"/>
          <w:sz w:val="22"/>
        </w:rPr>
        <w:t>NEUTRAL READ-THROUGH.</w:t>
      </w:r>
      <w:r>
        <w:rPr>
          <w:rFonts w:ascii="Calibri" w:hAnsi="Calibri"/>
          <w:color w:val="525866"/>
          <w:sz w:val="22"/>
        </w:rPr>
        <w:t xml:space="preserve"> ACLS reported bookings roughly flat sequentially at $128M, with memory and silicon carbide strength offset by softer general mature demand. Full-year 2026 revenues expected approximately flat YoY, with H2 weighted. Memory revenue expected to be softer sequentially in Q2. </w:t>
      </w:r>
      <w:r>
        <w:rPr>
          <w:rFonts w:ascii="Calibri" w:hAnsi="Calibri"/>
          <w:b/>
          <w:color w:val="525866"/>
          <w:sz w:val="22"/>
        </w:rPr>
        <w:t>TER Read-Through:</w:t>
      </w:r>
      <w:r>
        <w:rPr>
          <w:rFonts w:ascii="Calibri" w:hAnsi="Calibri"/>
          <w:color w:val="525866"/>
          <w:sz w:val="22"/>
        </w:rPr>
        <w:t xml:space="preserve"> ACLS is an ion implant equipment company with limited direct read-through to TER's test equipment business. The softer general mature commentary is consistent with TER's own bearish view on mobile TAM, but ACLS's memory softness in Q2 is a minor cautionary note for TER's memory test segment.</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All open-market sales since last earnings are 10b5-1 plan-driven — CEO Greg Smith and Director Marilyn Matz are selling on pre-scheduled plans at regular monthly intervals, and there are no discretionary open-market buys. The pattern is consistent and obligation-driven; no unusual clustering or size stands out as a signal.</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Transaction 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Smith, Gregory Stephen</w:t>
            </w:r>
          </w:p>
        </w:tc>
        <w:tc>
          <w:tcPr>
            <w:tcW w:type="dxa" w:w="1440"/>
          </w:tcPr>
          <w:p>
            <w:r>
              <w:rPr>
                <w:rFonts w:ascii="Calibri" w:hAnsi="Calibri"/>
                <w:sz w:val="22"/>
              </w:rPr>
              <w:t>President &amp; CEO, Director</w:t>
            </w:r>
          </w:p>
        </w:tc>
        <w:tc>
          <w:tcPr>
            <w:tcW w:type="dxa" w:w="1440"/>
          </w:tcPr>
          <w:p>
            <w:r>
              <w:rPr>
                <w:rFonts w:ascii="Calibri" w:hAnsi="Calibri"/>
                <w:sz w:val="22"/>
              </w:rPr>
              <w:t>10b5-1 Planned Sale</w:t>
            </w:r>
          </w:p>
        </w:tc>
        <w:tc>
          <w:tcPr>
            <w:tcW w:type="dxa" w:w="1440"/>
          </w:tcPr>
          <w:p>
            <w:r>
              <w:rPr>
                <w:rFonts w:ascii="Calibri" w:hAnsi="Calibri"/>
                <w:sz w:val="22"/>
              </w:rPr>
              <w:t>4,000</w:t>
            </w:r>
          </w:p>
        </w:tc>
        <w:tc>
          <w:tcPr>
            <w:tcW w:type="dxa" w:w="1440"/>
          </w:tcPr>
          <w:p>
            <w:r>
              <w:rPr>
                <w:rFonts w:ascii="Calibri" w:hAnsi="Calibri"/>
                <w:sz w:val="22"/>
              </w:rPr>
              <w:t>Jul 15, 2026</w:t>
            </w:r>
          </w:p>
        </w:tc>
        <w:tc>
          <w:tcPr>
            <w:tcW w:type="dxa" w:w="1440"/>
          </w:tcPr>
          <w:p>
            <w:r>
              <w:rPr>
                <w:rFonts w:ascii="Calibri" w:hAnsi="Calibri"/>
                <w:sz w:val="22"/>
              </w:rPr>
              <w:t>Pre-scheduled 10b5-1 plan; consistent monthly cadence.</w:t>
            </w:r>
          </w:p>
        </w:tc>
      </w:tr>
      <w:tr>
        <w:tc>
          <w:tcPr>
            <w:tcW w:type="dxa" w:w="1440"/>
          </w:tcPr>
          <w:p>
            <w:r>
              <w:rPr>
                <w:rFonts w:ascii="Calibri" w:hAnsi="Calibri"/>
                <w:sz w:val="22"/>
              </w:rPr>
              <w:t>Matz, Marilyn</w:t>
            </w:r>
          </w:p>
        </w:tc>
        <w:tc>
          <w:tcPr>
            <w:tcW w:type="dxa" w:w="1440"/>
          </w:tcPr>
          <w:p>
            <w:r>
              <w:rPr>
                <w:rFonts w:ascii="Calibri" w:hAnsi="Calibri"/>
                <w:sz w:val="22"/>
              </w:rPr>
              <w:t>Director</w:t>
            </w:r>
          </w:p>
        </w:tc>
        <w:tc>
          <w:tcPr>
            <w:tcW w:type="dxa" w:w="1440"/>
          </w:tcPr>
          <w:p>
            <w:r>
              <w:rPr>
                <w:rFonts w:ascii="Calibri" w:hAnsi="Calibri"/>
                <w:sz w:val="22"/>
              </w:rPr>
              <w:t>10b5-1 Planned Sale</w:t>
            </w:r>
          </w:p>
        </w:tc>
        <w:tc>
          <w:tcPr>
            <w:tcW w:type="dxa" w:w="1440"/>
          </w:tcPr>
          <w:p>
            <w:r>
              <w:rPr>
                <w:rFonts w:ascii="Calibri" w:hAnsi="Calibri"/>
                <w:sz w:val="22"/>
              </w:rPr>
              <w:t>1,200</w:t>
            </w:r>
          </w:p>
        </w:tc>
        <w:tc>
          <w:tcPr>
            <w:tcW w:type="dxa" w:w="1440"/>
          </w:tcPr>
          <w:p>
            <w:r>
              <w:rPr>
                <w:rFonts w:ascii="Calibri" w:hAnsi="Calibri"/>
                <w:sz w:val="22"/>
              </w:rPr>
              <w:t>Jul 15, 2026</w:t>
            </w:r>
          </w:p>
        </w:tc>
        <w:tc>
          <w:tcPr>
            <w:tcW w:type="dxa" w:w="1440"/>
          </w:tcPr>
          <w:p>
            <w:r>
              <w:rPr>
                <w:rFonts w:ascii="Calibri" w:hAnsi="Calibri"/>
                <w:sz w:val="22"/>
              </w:rPr>
              <w:t>Pre-scheduled 10b5-1 plan; consistent monthly cadence.</w:t>
            </w:r>
          </w:p>
        </w:tc>
      </w:tr>
      <w:tr>
        <w:tc>
          <w:tcPr>
            <w:tcW w:type="dxa" w:w="1440"/>
          </w:tcPr>
          <w:p>
            <w:r>
              <w:rPr>
                <w:rFonts w:ascii="Calibri" w:hAnsi="Calibri"/>
                <w:sz w:val="22"/>
              </w:rPr>
              <w:t>Johnson, Mercedes</w:t>
            </w:r>
          </w:p>
        </w:tc>
        <w:tc>
          <w:tcPr>
            <w:tcW w:type="dxa" w:w="1440"/>
          </w:tcPr>
          <w:p>
            <w:r>
              <w:rPr>
                <w:rFonts w:ascii="Calibri" w:hAnsi="Calibri"/>
                <w:sz w:val="22"/>
              </w:rPr>
              <w:t>Director</w:t>
            </w:r>
          </w:p>
        </w:tc>
        <w:tc>
          <w:tcPr>
            <w:tcW w:type="dxa" w:w="1440"/>
          </w:tcPr>
          <w:p>
            <w:r>
              <w:rPr>
                <w:rFonts w:ascii="Calibri" w:hAnsi="Calibri"/>
                <w:sz w:val="22"/>
              </w:rPr>
              <w:t>10b5-1 Planned Sale</w:t>
            </w:r>
          </w:p>
        </w:tc>
        <w:tc>
          <w:tcPr>
            <w:tcW w:type="dxa" w:w="1440"/>
          </w:tcPr>
          <w:p>
            <w:r>
              <w:rPr>
                <w:rFonts w:ascii="Calibri" w:hAnsi="Calibri"/>
                <w:sz w:val="22"/>
              </w:rPr>
              <w:t>167</w:t>
            </w:r>
          </w:p>
        </w:tc>
        <w:tc>
          <w:tcPr>
            <w:tcW w:type="dxa" w:w="1440"/>
          </w:tcPr>
          <w:p>
            <w:r>
              <w:rPr>
                <w:rFonts w:ascii="Calibri" w:hAnsi="Calibri"/>
                <w:sz w:val="22"/>
              </w:rPr>
              <w:t>Jul 1, 2026</w:t>
            </w:r>
          </w:p>
        </w:tc>
        <w:tc>
          <w:tcPr>
            <w:tcW w:type="dxa" w:w="1440"/>
          </w:tcPr>
          <w:p>
            <w:r>
              <w:rPr>
                <w:rFonts w:ascii="Calibri" w:hAnsi="Calibri"/>
                <w:sz w:val="22"/>
              </w:rPr>
              <w:t>Pre-scheduled 10b5-1 plan; small recurring sale.</w:t>
            </w:r>
          </w:p>
        </w:tc>
      </w:tr>
      <w:tr>
        <w:tc>
          <w:tcPr>
            <w:tcW w:type="dxa" w:w="1440"/>
          </w:tcPr>
          <w:p>
            <w:r>
              <w:rPr>
                <w:rFonts w:ascii="Calibri" w:hAnsi="Calibri"/>
                <w:sz w:val="22"/>
              </w:rPr>
              <w:t>Smith, Gregory Stephen</w:t>
            </w:r>
          </w:p>
        </w:tc>
        <w:tc>
          <w:tcPr>
            <w:tcW w:type="dxa" w:w="1440"/>
          </w:tcPr>
          <w:p>
            <w:r>
              <w:rPr>
                <w:rFonts w:ascii="Calibri" w:hAnsi="Calibri"/>
                <w:sz w:val="22"/>
              </w:rPr>
              <w:t>President &amp; CEO, Director</w:t>
            </w:r>
          </w:p>
        </w:tc>
        <w:tc>
          <w:tcPr>
            <w:tcW w:type="dxa" w:w="1440"/>
          </w:tcPr>
          <w:p>
            <w:r>
              <w:rPr>
                <w:rFonts w:ascii="Calibri" w:hAnsi="Calibri"/>
                <w:sz w:val="22"/>
              </w:rPr>
              <w:t>10b5-1 Planned Sale</w:t>
            </w:r>
          </w:p>
        </w:tc>
        <w:tc>
          <w:tcPr>
            <w:tcW w:type="dxa" w:w="1440"/>
          </w:tcPr>
          <w:p>
            <w:r>
              <w:rPr>
                <w:rFonts w:ascii="Calibri" w:hAnsi="Calibri"/>
                <w:sz w:val="22"/>
              </w:rPr>
              <w:t>4,000</w:t>
            </w:r>
          </w:p>
        </w:tc>
        <w:tc>
          <w:tcPr>
            <w:tcW w:type="dxa" w:w="1440"/>
          </w:tcPr>
          <w:p>
            <w:r>
              <w:rPr>
                <w:rFonts w:ascii="Calibri" w:hAnsi="Calibri"/>
                <w:sz w:val="22"/>
              </w:rPr>
              <w:t>Jun 15, 2026</w:t>
            </w:r>
          </w:p>
        </w:tc>
        <w:tc>
          <w:tcPr>
            <w:tcW w:type="dxa" w:w="1440"/>
          </w:tcPr>
          <w:p>
            <w:r>
              <w:rPr>
                <w:rFonts w:ascii="Calibri" w:hAnsi="Calibri"/>
                <w:sz w:val="22"/>
              </w:rPr>
              <w:t>Pre-scheduled 10b5-1 plan; consistent monthly cadence.</w:t>
            </w:r>
          </w:p>
        </w:tc>
      </w:tr>
      <w:tr>
        <w:tc>
          <w:tcPr>
            <w:tcW w:type="dxa" w:w="1440"/>
          </w:tcPr>
          <w:p>
            <w:r>
              <w:rPr>
                <w:rFonts w:ascii="Calibri" w:hAnsi="Calibri"/>
                <w:sz w:val="22"/>
              </w:rPr>
              <w:t>Matz, Marilyn</w:t>
            </w:r>
          </w:p>
        </w:tc>
        <w:tc>
          <w:tcPr>
            <w:tcW w:type="dxa" w:w="1440"/>
          </w:tcPr>
          <w:p>
            <w:r>
              <w:rPr>
                <w:rFonts w:ascii="Calibri" w:hAnsi="Calibri"/>
                <w:sz w:val="22"/>
              </w:rPr>
              <w:t>Director</w:t>
            </w:r>
          </w:p>
        </w:tc>
        <w:tc>
          <w:tcPr>
            <w:tcW w:type="dxa" w:w="1440"/>
          </w:tcPr>
          <w:p>
            <w:r>
              <w:rPr>
                <w:rFonts w:ascii="Calibri" w:hAnsi="Calibri"/>
                <w:sz w:val="22"/>
              </w:rPr>
              <w:t>10b5-1 Planned Sale</w:t>
            </w:r>
          </w:p>
        </w:tc>
        <w:tc>
          <w:tcPr>
            <w:tcW w:type="dxa" w:w="1440"/>
          </w:tcPr>
          <w:p>
            <w:r>
              <w:rPr>
                <w:rFonts w:ascii="Calibri" w:hAnsi="Calibri"/>
                <w:sz w:val="22"/>
              </w:rPr>
              <w:t>1,200</w:t>
            </w:r>
          </w:p>
        </w:tc>
        <w:tc>
          <w:tcPr>
            <w:tcW w:type="dxa" w:w="1440"/>
          </w:tcPr>
          <w:p>
            <w:r>
              <w:rPr>
                <w:rFonts w:ascii="Calibri" w:hAnsi="Calibri"/>
                <w:sz w:val="22"/>
              </w:rPr>
              <w:t>Jun 15, 2026</w:t>
            </w:r>
          </w:p>
        </w:tc>
        <w:tc>
          <w:tcPr>
            <w:tcW w:type="dxa" w:w="1440"/>
          </w:tcPr>
          <w:p>
            <w:r>
              <w:rPr>
                <w:rFonts w:ascii="Calibri" w:hAnsi="Calibri"/>
                <w:sz w:val="22"/>
              </w:rPr>
              <w:t>Pre-scheduled 10b5-1 plan; consistent monthly cadence.</w:t>
            </w:r>
          </w:p>
        </w:tc>
      </w:tr>
      <w:tr>
        <w:tc>
          <w:tcPr>
            <w:tcW w:type="dxa" w:w="1440"/>
          </w:tcPr>
          <w:p>
            <w:r>
              <w:rPr>
                <w:rFonts w:ascii="Calibri" w:hAnsi="Calibri"/>
                <w:sz w:val="22"/>
              </w:rPr>
              <w:t>Johnson, Mercedes</w:t>
            </w:r>
          </w:p>
        </w:tc>
        <w:tc>
          <w:tcPr>
            <w:tcW w:type="dxa" w:w="1440"/>
          </w:tcPr>
          <w:p>
            <w:r>
              <w:rPr>
                <w:rFonts w:ascii="Calibri" w:hAnsi="Calibri"/>
                <w:sz w:val="22"/>
              </w:rPr>
              <w:t>Director</w:t>
            </w:r>
          </w:p>
        </w:tc>
        <w:tc>
          <w:tcPr>
            <w:tcW w:type="dxa" w:w="1440"/>
          </w:tcPr>
          <w:p>
            <w:r>
              <w:rPr>
                <w:rFonts w:ascii="Calibri" w:hAnsi="Calibri"/>
                <w:sz w:val="22"/>
              </w:rPr>
              <w:t>10b5-1 Planned Sale</w:t>
            </w:r>
          </w:p>
        </w:tc>
        <w:tc>
          <w:tcPr>
            <w:tcW w:type="dxa" w:w="1440"/>
          </w:tcPr>
          <w:p>
            <w:r>
              <w:rPr>
                <w:rFonts w:ascii="Calibri" w:hAnsi="Calibri"/>
                <w:sz w:val="22"/>
              </w:rPr>
              <w:t>167</w:t>
            </w:r>
          </w:p>
        </w:tc>
        <w:tc>
          <w:tcPr>
            <w:tcW w:type="dxa" w:w="1440"/>
          </w:tcPr>
          <w:p>
            <w:r>
              <w:rPr>
                <w:rFonts w:ascii="Calibri" w:hAnsi="Calibri"/>
                <w:sz w:val="22"/>
              </w:rPr>
              <w:t>Jun 2, 2026</w:t>
            </w:r>
          </w:p>
        </w:tc>
        <w:tc>
          <w:tcPr>
            <w:tcW w:type="dxa" w:w="1440"/>
          </w:tcPr>
          <w:p>
            <w:r>
              <w:rPr>
                <w:rFonts w:ascii="Calibri" w:hAnsi="Calibri"/>
                <w:sz w:val="22"/>
              </w:rPr>
              <w:t>Pre-scheduled 10b5-1 plan; small recurring sale.</w:t>
            </w:r>
          </w:p>
        </w:tc>
      </w:tr>
      <w:tr>
        <w:tc>
          <w:tcPr>
            <w:tcW w:type="dxa" w:w="1440"/>
          </w:tcPr>
          <w:p>
            <w:r>
              <w:rPr>
                <w:rFonts w:ascii="Calibri" w:hAnsi="Calibri"/>
                <w:sz w:val="22"/>
              </w:rPr>
              <w:t>Matz, Marilyn</w:t>
            </w:r>
          </w:p>
        </w:tc>
        <w:tc>
          <w:tcPr>
            <w:tcW w:type="dxa" w:w="1440"/>
          </w:tcPr>
          <w:p>
            <w:r>
              <w:rPr>
                <w:rFonts w:ascii="Calibri" w:hAnsi="Calibri"/>
                <w:sz w:val="22"/>
              </w:rPr>
              <w:t>Director</w:t>
            </w:r>
          </w:p>
        </w:tc>
        <w:tc>
          <w:tcPr>
            <w:tcW w:type="dxa" w:w="1440"/>
          </w:tcPr>
          <w:p>
            <w:r>
              <w:rPr>
                <w:rFonts w:ascii="Calibri" w:hAnsi="Calibri"/>
                <w:sz w:val="22"/>
              </w:rPr>
              <w:t>10b5-1 Planned Sale</w:t>
            </w:r>
          </w:p>
        </w:tc>
        <w:tc>
          <w:tcPr>
            <w:tcW w:type="dxa" w:w="1440"/>
          </w:tcPr>
          <w:p>
            <w:r>
              <w:rPr>
                <w:rFonts w:ascii="Calibri" w:hAnsi="Calibri"/>
                <w:sz w:val="22"/>
              </w:rPr>
              <w:t>400</w:t>
            </w:r>
          </w:p>
        </w:tc>
        <w:tc>
          <w:tcPr>
            <w:tcW w:type="dxa" w:w="1440"/>
          </w:tcPr>
          <w:p>
            <w:r>
              <w:rPr>
                <w:rFonts w:ascii="Calibri" w:hAnsi="Calibri"/>
                <w:sz w:val="22"/>
              </w:rPr>
              <w:t>May 21, 2026</w:t>
            </w:r>
          </w:p>
        </w:tc>
        <w:tc>
          <w:tcPr>
            <w:tcW w:type="dxa" w:w="1440"/>
          </w:tcPr>
          <w:p>
            <w:r>
              <w:rPr>
                <w:rFonts w:ascii="Calibri" w:hAnsi="Calibri"/>
                <w:sz w:val="22"/>
              </w:rPr>
              <w:t>Pre-scheduled 10b5-1 plan.</w:t>
            </w:r>
          </w:p>
        </w:tc>
      </w:tr>
      <w:tr>
        <w:tc>
          <w:tcPr>
            <w:tcW w:type="dxa" w:w="1440"/>
          </w:tcPr>
          <w:p>
            <w:r>
              <w:rPr>
                <w:rFonts w:ascii="Calibri" w:hAnsi="Calibri"/>
                <w:sz w:val="22"/>
              </w:rPr>
              <w:t>Matz, Marilyn</w:t>
            </w:r>
          </w:p>
        </w:tc>
        <w:tc>
          <w:tcPr>
            <w:tcW w:type="dxa" w:w="1440"/>
          </w:tcPr>
          <w:p>
            <w:r>
              <w:rPr>
                <w:rFonts w:ascii="Calibri" w:hAnsi="Calibri"/>
                <w:sz w:val="22"/>
              </w:rPr>
              <w:t>Director</w:t>
            </w:r>
          </w:p>
        </w:tc>
        <w:tc>
          <w:tcPr>
            <w:tcW w:type="dxa" w:w="1440"/>
          </w:tcPr>
          <w:p>
            <w:r>
              <w:rPr>
                <w:rFonts w:ascii="Calibri" w:hAnsi="Calibri"/>
                <w:sz w:val="22"/>
              </w:rPr>
              <w:t>10b5-1 Planned Sale</w:t>
            </w:r>
          </w:p>
        </w:tc>
        <w:tc>
          <w:tcPr>
            <w:tcW w:type="dxa" w:w="1440"/>
          </w:tcPr>
          <w:p>
            <w:r>
              <w:rPr>
                <w:rFonts w:ascii="Calibri" w:hAnsi="Calibri"/>
                <w:sz w:val="22"/>
              </w:rPr>
              <w:t>800</w:t>
            </w:r>
          </w:p>
        </w:tc>
        <w:tc>
          <w:tcPr>
            <w:tcW w:type="dxa" w:w="1440"/>
          </w:tcPr>
          <w:p>
            <w:r>
              <w:rPr>
                <w:rFonts w:ascii="Calibri" w:hAnsi="Calibri"/>
                <w:sz w:val="22"/>
              </w:rPr>
              <w:t>May 15, 2026</w:t>
            </w:r>
          </w:p>
        </w:tc>
        <w:tc>
          <w:tcPr>
            <w:tcW w:type="dxa" w:w="1440"/>
          </w:tcPr>
          <w:p>
            <w:r>
              <w:rPr>
                <w:rFonts w:ascii="Calibri" w:hAnsi="Calibri"/>
                <w:sz w:val="22"/>
              </w:rPr>
              <w:t>Pre-scheduled 10b5-1 plan.</w:t>
            </w:r>
          </w:p>
        </w:tc>
      </w:tr>
      <w:tr>
        <w:tc>
          <w:tcPr>
            <w:tcW w:type="dxa" w:w="1440"/>
          </w:tcPr>
          <w:p>
            <w:r>
              <w:rPr>
                <w:rFonts w:ascii="Calibri" w:hAnsi="Calibri"/>
                <w:sz w:val="22"/>
              </w:rPr>
              <w:t>Driscoll, Ryan</w:t>
            </w:r>
          </w:p>
        </w:tc>
        <w:tc>
          <w:tcPr>
            <w:tcW w:type="dxa" w:w="1440"/>
          </w:tcPr>
          <w:p>
            <w:r>
              <w:rPr>
                <w:rFonts w:ascii="Calibri" w:hAnsi="Calibri"/>
                <w:sz w:val="22"/>
              </w:rPr>
              <w:t>VP, General Counsel &amp; Secretary</w:t>
            </w:r>
          </w:p>
        </w:tc>
        <w:tc>
          <w:tcPr>
            <w:tcW w:type="dxa" w:w="1440"/>
          </w:tcPr>
          <w:p>
            <w:r>
              <w:rPr>
                <w:rFonts w:ascii="Calibri" w:hAnsi="Calibri"/>
                <w:sz w:val="22"/>
              </w:rPr>
              <w:t>10b5-1 Planned Sale</w:t>
            </w:r>
          </w:p>
        </w:tc>
        <w:tc>
          <w:tcPr>
            <w:tcW w:type="dxa" w:w="1440"/>
          </w:tcPr>
          <w:p>
            <w:r>
              <w:rPr>
                <w:rFonts w:ascii="Calibri" w:hAnsi="Calibri"/>
                <w:sz w:val="22"/>
              </w:rPr>
              <w:t>680</w:t>
            </w:r>
          </w:p>
        </w:tc>
        <w:tc>
          <w:tcPr>
            <w:tcW w:type="dxa" w:w="1440"/>
          </w:tcPr>
          <w:p>
            <w:r>
              <w:rPr>
                <w:rFonts w:ascii="Calibri" w:hAnsi="Calibri"/>
                <w:sz w:val="22"/>
              </w:rPr>
              <w:t>May 7, 2026</w:t>
            </w:r>
          </w:p>
        </w:tc>
        <w:tc>
          <w:tcPr>
            <w:tcW w:type="dxa" w:w="1440"/>
          </w:tcPr>
          <w:p>
            <w:r>
              <w:rPr>
                <w:rFonts w:ascii="Calibri" w:hAnsi="Calibri"/>
                <w:sz w:val="22"/>
              </w:rPr>
              <w:t>Pre-scheduled 10b5-1 plan.</w:t>
            </w:r>
          </w:p>
        </w:tc>
      </w:tr>
      <w:tr>
        <w:tc>
          <w:tcPr>
            <w:tcW w:type="dxa" w:w="1440"/>
          </w:tcPr>
          <w:p>
            <w:r>
              <w:rPr>
                <w:rFonts w:ascii="Calibri" w:hAnsi="Calibri"/>
                <w:sz w:val="22"/>
              </w:rPr>
              <w:t>Hathout, Jean Pierre</w:t>
            </w:r>
          </w:p>
        </w:tc>
        <w:tc>
          <w:tcPr>
            <w:tcW w:type="dxa" w:w="1440"/>
          </w:tcPr>
          <w:p>
            <w:r>
              <w:rPr>
                <w:rFonts w:ascii="Calibri" w:hAnsi="Calibri"/>
                <w:sz w:val="22"/>
              </w:rPr>
              <w:t>President, Teradyne Robotics</w:t>
            </w:r>
          </w:p>
        </w:tc>
        <w:tc>
          <w:tcPr>
            <w:tcW w:type="dxa" w:w="1440"/>
          </w:tcPr>
          <w:p>
            <w:r>
              <w:rPr>
                <w:rFonts w:ascii="Calibri" w:hAnsi="Calibri"/>
                <w:sz w:val="22"/>
              </w:rPr>
              <w:t>Tax Withholding (Code F)</w:t>
            </w:r>
          </w:p>
        </w:tc>
        <w:tc>
          <w:tcPr>
            <w:tcW w:type="dxa" w:w="1440"/>
          </w:tcPr>
          <w:p>
            <w:r>
              <w:rPr>
                <w:rFonts w:ascii="Calibri" w:hAnsi="Calibri"/>
                <w:sz w:val="22"/>
              </w:rPr>
              <w:t>267</w:t>
            </w:r>
          </w:p>
        </w:tc>
        <w:tc>
          <w:tcPr>
            <w:tcW w:type="dxa" w:w="1440"/>
          </w:tcPr>
          <w:p>
            <w:r>
              <w:rPr>
                <w:rFonts w:ascii="Calibri" w:hAnsi="Calibri"/>
                <w:sz w:val="22"/>
              </w:rPr>
              <w:t>Jun 1, 2026</w:t>
            </w:r>
          </w:p>
        </w:tc>
        <w:tc>
          <w:tcPr>
            <w:tcW w:type="dxa" w:w="1440"/>
          </w:tcPr>
          <w:p>
            <w:r>
              <w:rPr>
                <w:rFonts w:ascii="Calibri" w:hAnsi="Calibri"/>
                <w:sz w:val="22"/>
              </w:rPr>
              <w:t>Shares withheld for tax obligation on vesting; not a discretionary sale.</w:t>
            </w:r>
          </w:p>
        </w:tc>
      </w:tr>
      <w:tr>
        <w:tc>
          <w:tcPr>
            <w:tcW w:type="dxa" w:w="1440"/>
          </w:tcPr>
          <w:p>
            <w:r>
              <w:rPr>
                <w:rFonts w:ascii="Calibri" w:hAnsi="Calibri"/>
                <w:sz w:val="22"/>
              </w:rPr>
              <w:t>Poulin, Shannon John</w:t>
            </w:r>
          </w:p>
        </w:tc>
        <w:tc>
          <w:tcPr>
            <w:tcW w:type="dxa" w:w="1440"/>
          </w:tcPr>
          <w:p>
            <w:r>
              <w:rPr>
                <w:rFonts w:ascii="Calibri" w:hAnsi="Calibri"/>
                <w:sz w:val="22"/>
              </w:rPr>
              <w:t>President, Semiconductor Test</w:t>
            </w:r>
          </w:p>
        </w:tc>
        <w:tc>
          <w:tcPr>
            <w:tcW w:type="dxa" w:w="1440"/>
          </w:tcPr>
          <w:p>
            <w:r>
              <w:rPr>
                <w:rFonts w:ascii="Calibri" w:hAnsi="Calibri"/>
                <w:sz w:val="22"/>
              </w:rPr>
              <w:t>Tax Withholding (Code F)</w:t>
            </w:r>
          </w:p>
        </w:tc>
        <w:tc>
          <w:tcPr>
            <w:tcW w:type="dxa" w:w="1440"/>
          </w:tcPr>
          <w:p>
            <w:r>
              <w:rPr>
                <w:rFonts w:ascii="Calibri" w:hAnsi="Calibri"/>
                <w:sz w:val="22"/>
              </w:rPr>
              <w:t>1,531</w:t>
            </w:r>
          </w:p>
        </w:tc>
        <w:tc>
          <w:tcPr>
            <w:tcW w:type="dxa" w:w="1440"/>
          </w:tcPr>
          <w:p>
            <w:r>
              <w:rPr>
                <w:rFonts w:ascii="Calibri" w:hAnsi="Calibri"/>
                <w:sz w:val="22"/>
              </w:rPr>
              <w:t>May 21, 2026</w:t>
            </w:r>
          </w:p>
        </w:tc>
        <w:tc>
          <w:tcPr>
            <w:tcW w:type="dxa" w:w="1440"/>
          </w:tcPr>
          <w:p>
            <w:r>
              <w:rPr>
                <w:rFonts w:ascii="Calibri" w:hAnsi="Calibri"/>
                <w:sz w:val="22"/>
              </w:rPr>
              <w:t>Shares withheld for tax obligation on vesting; not a discretionary sale.</w:t>
            </w:r>
          </w:p>
        </w:tc>
      </w:tr>
    </w:tbl>
    <w:p>
      <w:r>
        <w:rPr>
          <w:rFonts w:ascii="Calibri" w:hAnsi="Calibri"/>
          <w:b/>
          <w:color w:val="525866"/>
          <w:sz w:val="22"/>
        </w:rPr>
        <w:t xml:space="preserve">Note: </w:t>
      </w:r>
      <w:r>
        <w:rPr>
          <w:rFonts w:ascii="Calibri" w:hAnsi="Calibri"/>
          <w:color w:val="525866"/>
          <w:sz w:val="22"/>
        </w:rPr>
        <w:t>Multiple directors (Henry Andrew Chisholm, Peter Herweck, Paul Tufano, Mercedes Johnson, Marilyn Matz, Necip Sayiner, Bridget van Kralingen, Ernest Maddock) received routine annual stock grants (Code A) in May 2026 as part of standard director compensation. These are not open-market purchases and carry no informational signal. No open-market discretionary buys were recorded in the period. Source: SEC Form 4 Filings.</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