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Teradyne, Inc. (TER)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Teradyne, Inc.</w:t>
            </w:r>
          </w:p>
        </w:tc>
      </w:tr>
      <w:tr>
        <w:tc>
          <w:tcPr>
            <w:tcW w:type="dxa" w:w="4320"/>
          </w:tcPr>
          <w:p>
            <w:r>
              <w:rPr>
                <w:rFonts w:ascii="Calibri" w:hAnsi="Calibri"/>
                <w:b/>
                <w:sz w:val="22"/>
              </w:rPr>
              <w:t>Ticker</w:t>
            </w:r>
          </w:p>
        </w:tc>
        <w:tc>
          <w:tcPr>
            <w:tcW w:type="dxa" w:w="4320"/>
          </w:tcPr>
          <w:p>
            <w:r>
              <w:rPr>
                <w:rFonts w:ascii="Calibri" w:hAnsi="Calibri"/>
                <w:sz w:val="22"/>
              </w:rPr>
              <w:t>NASDAQ: TER</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(after market close); Conference Call July 29, 2026 at 8:30 a.m.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 Sub-sector</w:t>
            </w:r>
          </w:p>
        </w:tc>
        <w:tc>
          <w:tcPr>
            <w:tcW w:type="dxa" w:w="4320"/>
          </w:tcPr>
          <w:p>
            <w:r>
              <w:rPr>
                <w:rFonts w:ascii="Calibri" w:hAnsi="Calibri"/>
                <w:sz w:val="22"/>
              </w:rPr>
              <w:t>Semiconductors &amp; Semiconductor Equipment / Automated Test Equipment (ATE)</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The setup is mixed-to-cautious — consensus is a manageable bar after Q1's record beat, but the stock has already de-rated sharply since earnings and the key swing factor is whether Q2 SoC/compute revenue and gross margin can clear the low end of guidance, with any signal on H2 VIP compute timing the single biggest catalyst in either direction.</w:t>
      </w:r>
    </w:p>
    <w:p>
      <w:r>
        <w:rPr>
          <w:rFonts w:ascii="Calibri" w:hAnsi="Calibri"/>
          <w:color w:val="525866"/>
          <w:sz w:val="22"/>
        </w:rPr>
        <w:t xml:space="preserve">Heading into Q2 2026 results, Teradyne faces a bar that is achievable but not low: consensus revenue of ~$1.22B sits near the midpoint of the $1.15B–$1.25B guidance range issued April 29, and non-GAAP EPS consensus of ~$2.05 is just below the $1.86–$2.15 guidance midpoint of ~$2.01, leaving modest room for a beat but little cushion if execution slips. Management's posture on the Q1 call was directionally confident on first-half demand — AI-driven revenue reached ~70% of Q1 sales, merchant GPU first multi-system production orders were received, and memory test demand was described as "even stronger than our view in January" — but the tone was deliberately cautious on H2, with management widening the full-year first-half weighting range to 55%–60% (from a prior 60% point estimate) and explicitly flagging "quite limited" H2 visibility for merchant GPU. </w:t>
      </w:r>
      <w:r>
        <w:rPr>
          <w:rFonts w:ascii="Calibri" w:hAnsi="Calibri"/>
          <w:b/>
          <w:color w:val="525866"/>
          <w:sz w:val="22"/>
        </w:rPr>
        <w:t>Estimate revisions have been broadly stable since the Q1 print</w:t>
      </w:r>
      <w:r>
        <w:rPr>
          <w:rFonts w:ascii="Calibri" w:hAnsi="Calibri"/>
          <w:color w:val="525866"/>
          <w:sz w:val="22"/>
        </w:rPr>
        <w:t xml:space="preserve"> — Q2 consensus revenue is essentially flat vs. the post-Q1 baseline (~$1.215B vs. ~$1.212B), suggesting the Street has largely digested guidance without adding incremental optimism or pessimism. The stock, however, has told a different story: TER peaked near $484 on June 30 before a sharp ~31% drawdown to ~$335 by late July, driven by multiple compression (NTM P/E contracted from ~50x to ~39x over three months) rather than estimate cuts, leaving the stock pricing in meaningful execution risk ahead of the print. The wildcard is H2 VIP compute timing — management has flagged that the next-generation VIP wave is expected in early 2027 but could "bleed into" late 2026, and any pull-forward signal on the call would be a material positive catalyst; conversely, any further widening of the H2 uncertainty range would likely extend the de-rating.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sits near the midpoint of guidance on revenue (~$1.22B vs. $1.20B midpoint) and just below the EPS midpoint (~$2.05 vs. ~$2.01), making this a manageable but not easy bar; </w:t>
      </w:r>
      <w:r>
        <w:rPr>
          <w:rFonts w:ascii="Calibri" w:hAnsi="Calibri"/>
          <w:b/>
          <w:color w:val="525866"/>
          <w:sz w:val="22"/>
        </w:rPr>
        <w:t>SoC Test revenue and gross margin are the bigger swing factors given the peak-volume and mix-driven dynamics flagged by management.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($M)</w:t>
            </w:r>
          </w:p>
        </w:tc>
        <w:tc>
          <w:tcPr>
            <w:tcW w:type="dxa" w:w="1234"/>
          </w:tcPr>
          <w:p>
            <w:r>
              <w:rPr>
                <w:rFonts w:ascii="Calibri" w:hAnsi="Calibri"/>
                <w:sz w:val="22"/>
              </w:rPr>
              <w:t>$1,282.5</w:t>
            </w:r>
          </w:p>
        </w:tc>
        <w:tc>
          <w:tcPr>
            <w:tcW w:type="dxa" w:w="1234"/>
          </w:tcPr>
          <w:p>
            <w:r>
              <w:rPr>
                <w:rFonts w:ascii="Calibri" w:hAnsi="Calibri"/>
                <w:sz w:val="22"/>
              </w:rPr>
              <w:t>$651.8</w:t>
            </w:r>
          </w:p>
        </w:tc>
        <w:tc>
          <w:tcPr>
            <w:tcW w:type="dxa" w:w="1234"/>
          </w:tcPr>
          <w:p>
            <w:r>
              <w:rPr>
                <w:rFonts w:ascii="Calibri" w:hAnsi="Calibri"/>
                <w:sz w:val="22"/>
              </w:rPr>
              <w:t>$1,215.6</w:t>
            </w:r>
          </w:p>
        </w:tc>
        <w:tc>
          <w:tcPr>
            <w:tcW w:type="dxa" w:w="1234"/>
          </w:tcPr>
          <w:p>
            <w:r>
              <w:rPr>
                <w:rFonts w:ascii="Calibri" w:hAnsi="Calibri"/>
                <w:sz w:val="22"/>
              </w:rPr>
              <w:t>+86.5%</w:t>
            </w:r>
          </w:p>
        </w:tc>
        <w:tc>
          <w:tcPr>
            <w:tcW w:type="dxa" w:w="1234"/>
          </w:tcPr>
          <w:p>
            <w:r>
              <w:rPr>
                <w:rFonts w:ascii="Calibri" w:hAnsi="Calibri"/>
                <w:sz w:val="22"/>
              </w:rPr>
              <w:t>$1,150–$1,250 ($1,200M mid)</w:t>
            </w:r>
          </w:p>
        </w:tc>
        <w:tc>
          <w:tcPr>
            <w:tcW w:type="dxa" w:w="1234"/>
          </w:tcPr>
          <w:p>
            <w:r>
              <w:rPr>
                <w:rFonts w:ascii="Calibri" w:hAnsi="Calibri"/>
                <w:sz w:val="22"/>
              </w:rPr>
              <w:t>+1.3%</w:t>
            </w:r>
          </w:p>
        </w:tc>
      </w:tr>
      <w:tr>
        <w:tc>
          <w:tcPr>
            <w:tcW w:type="dxa" w:w="1234"/>
          </w:tcPr>
          <w:p>
            <w:r>
              <w:rPr>
                <w:rFonts w:ascii="Calibri" w:hAnsi="Calibri"/>
                <w:sz w:val="22"/>
              </w:rPr>
              <w:t>Non-GAAP EPS (Diluted)</w:t>
            </w:r>
          </w:p>
        </w:tc>
        <w:tc>
          <w:tcPr>
            <w:tcW w:type="dxa" w:w="1234"/>
          </w:tcPr>
          <w:p>
            <w:r>
              <w:rPr>
                <w:rFonts w:ascii="Calibri" w:hAnsi="Calibri"/>
                <w:sz w:val="22"/>
              </w:rPr>
              <w:t>$2.56</w:t>
            </w:r>
          </w:p>
        </w:tc>
        <w:tc>
          <w:tcPr>
            <w:tcW w:type="dxa" w:w="1234"/>
          </w:tcPr>
          <w:p>
            <w:r>
              <w:rPr>
                <w:rFonts w:ascii="Calibri" w:hAnsi="Calibri"/>
                <w:sz w:val="22"/>
              </w:rPr>
              <w:t>$0.57</w:t>
            </w:r>
          </w:p>
        </w:tc>
        <w:tc>
          <w:tcPr>
            <w:tcW w:type="dxa" w:w="1234"/>
          </w:tcPr>
          <w:p>
            <w:r>
              <w:rPr>
                <w:rFonts w:ascii="Calibri" w:hAnsi="Calibri"/>
                <w:sz w:val="22"/>
              </w:rPr>
              <w:t>$2.05</w:t>
            </w:r>
          </w:p>
        </w:tc>
        <w:tc>
          <w:tcPr>
            <w:tcW w:type="dxa" w:w="1234"/>
          </w:tcPr>
          <w:p>
            <w:r>
              <w:rPr>
                <w:rFonts w:ascii="Calibri" w:hAnsi="Calibri"/>
                <w:sz w:val="22"/>
              </w:rPr>
              <w:t>+259.6%</w:t>
            </w:r>
          </w:p>
        </w:tc>
        <w:tc>
          <w:tcPr>
            <w:tcW w:type="dxa" w:w="1234"/>
          </w:tcPr>
          <w:p>
            <w:r>
              <w:rPr>
                <w:rFonts w:ascii="Calibri" w:hAnsi="Calibri"/>
                <w:sz w:val="22"/>
              </w:rPr>
              <w:t>$1.86–$2.15 ($2.005M mid)</w:t>
            </w:r>
          </w:p>
        </w:tc>
        <w:tc>
          <w:tcPr>
            <w:tcW w:type="dxa" w:w="1234"/>
          </w:tcPr>
          <w:p>
            <w:r>
              <w:rPr>
                <w:rFonts w:ascii="Calibri" w:hAnsi="Calibri"/>
                <w:sz w:val="22"/>
              </w:rPr>
              <w:t>+2.2%</w:t>
            </w:r>
          </w:p>
        </w:tc>
      </w:tr>
      <w:tr>
        <w:tc>
          <w:tcPr>
            <w:tcW w:type="dxa" w:w="1234"/>
          </w:tcPr>
          <w:p>
            <w:r>
              <w:rPr>
                <w:rFonts w:ascii="Calibri" w:hAnsi="Calibri"/>
                <w:sz w:val="22"/>
              </w:rPr>
              <w:t>Semiconductor Test Revenue ($M)</w:t>
            </w:r>
          </w:p>
        </w:tc>
        <w:tc>
          <w:tcPr>
            <w:tcW w:type="dxa" w:w="1234"/>
          </w:tcPr>
          <w:p>
            <w:r>
              <w:rPr>
                <w:rFonts w:ascii="Calibri" w:hAnsi="Calibri"/>
                <w:sz w:val="22"/>
              </w:rPr>
              <w:t>$1,111.0</w:t>
            </w:r>
          </w:p>
        </w:tc>
        <w:tc>
          <w:tcPr>
            <w:tcW w:type="dxa" w:w="1234"/>
          </w:tcPr>
          <w:p>
            <w:r>
              <w:rPr>
                <w:rFonts w:ascii="Calibri" w:hAnsi="Calibri"/>
                <w:sz w:val="22"/>
              </w:rPr>
              <w:t>$491.9</w:t>
            </w:r>
          </w:p>
        </w:tc>
        <w:tc>
          <w:tcPr>
            <w:tcW w:type="dxa" w:w="1234"/>
          </w:tcPr>
          <w:p>
            <w:r>
              <w:rPr>
                <w:rFonts w:ascii="Calibri" w:hAnsi="Calibri"/>
                <w:sz w:val="22"/>
              </w:rPr>
              <w:t>$1,042.0</w:t>
            </w:r>
          </w:p>
        </w:tc>
        <w:tc>
          <w:tcPr>
            <w:tcW w:type="dxa" w:w="1234"/>
          </w:tcPr>
          <w:p>
            <w:r>
              <w:rPr>
                <w:rFonts w:ascii="Calibri" w:hAnsi="Calibri"/>
                <w:sz w:val="22"/>
              </w:rPr>
              <w:t>+111.8%</w:t>
            </w:r>
          </w:p>
        </w:tc>
        <w:tc>
          <w:tcPr>
            <w:tcW w:type="dxa" w:w="1234"/>
          </w:tcPr>
          <w:p>
            <w:r>
              <w:rPr>
                <w:rFonts w:ascii="Calibri" w:hAnsi="Calibri"/>
                <w:sz w:val="22"/>
              </w:rPr>
              <w:t>No segment-level guidance provided</w:t>
            </w:r>
          </w:p>
        </w:tc>
        <w:tc>
          <w:tcPr>
            <w:tcW w:type="dxa" w:w="1234"/>
          </w:tcPr>
          <w:p>
            <w:r>
              <w:rPr>
                <w:rFonts w:ascii="Calibri" w:hAnsi="Calibri"/>
                <w:sz w:val="22"/>
              </w:rPr>
              <w:t>N/A</w:t>
            </w:r>
          </w:p>
        </w:tc>
      </w:tr>
      <w:tr>
        <w:tc>
          <w:tcPr>
            <w:tcW w:type="dxa" w:w="1234"/>
          </w:tcPr>
          <w:p>
            <w:r>
              <w:rPr>
                <w:rFonts w:ascii="Calibri" w:hAnsi="Calibri"/>
                <w:sz w:val="22"/>
              </w:rPr>
              <w:t>SoC Test Revenue ($M)</w:t>
            </w:r>
          </w:p>
        </w:tc>
        <w:tc>
          <w:tcPr>
            <w:tcW w:type="dxa" w:w="1234"/>
          </w:tcPr>
          <w:p>
            <w:r>
              <w:rPr>
                <w:rFonts w:ascii="Calibri" w:hAnsi="Calibri"/>
                <w:sz w:val="22"/>
              </w:rPr>
              <w:t>$881.5</w:t>
            </w:r>
          </w:p>
        </w:tc>
        <w:tc>
          <w:tcPr>
            <w:tcW w:type="dxa" w:w="1234"/>
          </w:tcPr>
          <w:p>
            <w:r>
              <w:rPr>
                <w:rFonts w:ascii="Calibri" w:hAnsi="Calibri"/>
                <w:sz w:val="22"/>
              </w:rPr>
              <w:t>$396.6</w:t>
            </w:r>
          </w:p>
        </w:tc>
        <w:tc>
          <w:tcPr>
            <w:tcW w:type="dxa" w:w="1234"/>
          </w:tcPr>
          <w:p>
            <w:r>
              <w:rPr>
                <w:rFonts w:ascii="Calibri" w:hAnsi="Calibri"/>
                <w:sz w:val="22"/>
              </w:rPr>
              <w:t>$813.0</w:t>
            </w:r>
          </w:p>
        </w:tc>
        <w:tc>
          <w:tcPr>
            <w:tcW w:type="dxa" w:w="1234"/>
          </w:tcPr>
          <w:p>
            <w:r>
              <w:rPr>
                <w:rFonts w:ascii="Calibri" w:hAnsi="Calibri"/>
                <w:sz w:val="22"/>
              </w:rPr>
              <w:t>+105.0%</w:t>
            </w:r>
          </w:p>
        </w:tc>
        <w:tc>
          <w:tcPr>
            <w:tcW w:type="dxa" w:w="1234"/>
          </w:tcPr>
          <w:p>
            <w:r>
              <w:rPr>
                <w:rFonts w:ascii="Calibri" w:hAnsi="Calibri"/>
                <w:sz w:val="22"/>
              </w:rPr>
              <w:t>No segment-level guidance provided</w:t>
            </w:r>
          </w:p>
        </w:tc>
        <w:tc>
          <w:tcPr>
            <w:tcW w:type="dxa" w:w="1234"/>
          </w:tcPr>
          <w:p>
            <w:r>
              <w:rPr>
                <w:rFonts w:ascii="Calibri" w:hAnsi="Calibri"/>
                <w:sz w:val="22"/>
              </w:rPr>
              <w:t>N/A</w:t>
            </w:r>
          </w:p>
        </w:tc>
      </w:tr>
      <w:tr>
        <w:tc>
          <w:tcPr>
            <w:tcW w:type="dxa" w:w="1234"/>
          </w:tcPr>
          <w:p>
            <w:r>
              <w:rPr>
                <w:rFonts w:ascii="Calibri" w:hAnsi="Calibri"/>
                <w:sz w:val="22"/>
              </w:rPr>
              <w:t>Memory Test Revenue ($M)</w:t>
            </w:r>
          </w:p>
        </w:tc>
        <w:tc>
          <w:tcPr>
            <w:tcW w:type="dxa" w:w="1234"/>
          </w:tcPr>
          <w:p>
            <w:r>
              <w:rPr>
                <w:rFonts w:ascii="Calibri" w:hAnsi="Calibri"/>
                <w:sz w:val="22"/>
              </w:rPr>
              <w:t>$203.0</w:t>
            </w:r>
          </w:p>
        </w:tc>
        <w:tc>
          <w:tcPr>
            <w:tcW w:type="dxa" w:w="1234"/>
          </w:tcPr>
          <w:p>
            <w:r>
              <w:rPr>
                <w:rFonts w:ascii="Calibri" w:hAnsi="Calibri"/>
                <w:sz w:val="22"/>
              </w:rPr>
              <w:t>$60.9</w:t>
            </w:r>
          </w:p>
        </w:tc>
        <w:tc>
          <w:tcPr>
            <w:tcW w:type="dxa" w:w="1234"/>
          </w:tcPr>
          <w:p>
            <w:r>
              <w:rPr>
                <w:rFonts w:ascii="Calibri" w:hAnsi="Calibri"/>
                <w:sz w:val="22"/>
              </w:rPr>
              <w:t>$187.3</w:t>
            </w:r>
          </w:p>
        </w:tc>
        <w:tc>
          <w:tcPr>
            <w:tcW w:type="dxa" w:w="1234"/>
          </w:tcPr>
          <w:p>
            <w:r>
              <w:rPr>
                <w:rFonts w:ascii="Calibri" w:hAnsi="Calibri"/>
                <w:sz w:val="22"/>
              </w:rPr>
              <w:t>+207.5%</w:t>
            </w:r>
          </w:p>
        </w:tc>
        <w:tc>
          <w:tcPr>
            <w:tcW w:type="dxa" w:w="1234"/>
          </w:tcPr>
          <w:p>
            <w:r>
              <w:rPr>
                <w:rFonts w:ascii="Calibri" w:hAnsi="Calibri"/>
                <w:sz w:val="22"/>
              </w:rPr>
              <w:t>No segment-level guidance provided</w:t>
            </w:r>
          </w:p>
        </w:tc>
        <w:tc>
          <w:tcPr>
            <w:tcW w:type="dxa" w:w="1234"/>
          </w:tcPr>
          <w:p>
            <w:r>
              <w:rPr>
                <w:rFonts w:ascii="Calibri" w:hAnsi="Calibri"/>
                <w:sz w:val="22"/>
              </w:rPr>
              <w:t>N/A</w:t>
            </w:r>
          </w:p>
        </w:tc>
      </w:tr>
      <w:tr>
        <w:tc>
          <w:tcPr>
            <w:tcW w:type="dxa" w:w="1234"/>
          </w:tcPr>
          <w:p>
            <w:r>
              <w:rPr>
                <w:rFonts w:ascii="Calibri" w:hAnsi="Calibri"/>
                <w:sz w:val="22"/>
              </w:rPr>
              <w:t>Robotics Revenue ($M)</w:t>
            </w:r>
          </w:p>
        </w:tc>
        <w:tc>
          <w:tcPr>
            <w:tcW w:type="dxa" w:w="1234"/>
          </w:tcPr>
          <w:p>
            <w:r>
              <w:rPr>
                <w:rFonts w:ascii="Calibri" w:hAnsi="Calibri"/>
                <w:sz w:val="22"/>
              </w:rPr>
              <w:t>$91.0</w:t>
            </w:r>
          </w:p>
        </w:tc>
        <w:tc>
          <w:tcPr>
            <w:tcW w:type="dxa" w:w="1234"/>
          </w:tcPr>
          <w:p>
            <w:r>
              <w:rPr>
                <w:rFonts w:ascii="Calibri" w:hAnsi="Calibri"/>
                <w:sz w:val="22"/>
              </w:rPr>
              <w:t>$74.9</w:t>
            </w:r>
          </w:p>
        </w:tc>
        <w:tc>
          <w:tcPr>
            <w:tcW w:type="dxa" w:w="1234"/>
          </w:tcPr>
          <w:p>
            <w:r>
              <w:rPr>
                <w:rFonts w:ascii="Calibri" w:hAnsi="Calibri"/>
                <w:sz w:val="22"/>
              </w:rPr>
              <w:t>$87.7</w:t>
            </w:r>
          </w:p>
        </w:tc>
        <w:tc>
          <w:tcPr>
            <w:tcW w:type="dxa" w:w="1234"/>
          </w:tcPr>
          <w:p>
            <w:r>
              <w:rPr>
                <w:rFonts w:ascii="Calibri" w:hAnsi="Calibri"/>
                <w:sz w:val="22"/>
              </w:rPr>
              <w:t>+17.1%</w:t>
            </w:r>
          </w:p>
        </w:tc>
        <w:tc>
          <w:tcPr>
            <w:tcW w:type="dxa" w:w="1234"/>
          </w:tcPr>
          <w:p>
            <w:r>
              <w:rPr>
                <w:rFonts w:ascii="Calibri" w:hAnsi="Calibri"/>
                <w:sz w:val="22"/>
              </w:rPr>
              <w:t>No segment-level guidance provided</w:t>
            </w:r>
          </w:p>
        </w:tc>
        <w:tc>
          <w:tcPr>
            <w:tcW w:type="dxa" w:w="1234"/>
          </w:tcPr>
          <w:p>
            <w:r>
              <w:rPr>
                <w:rFonts w:ascii="Calibri" w:hAnsi="Calibri"/>
                <w:sz w:val="22"/>
              </w:rPr>
              <w:t>N/A</w:t>
            </w:r>
          </w:p>
        </w:tc>
      </w:tr>
      <w:tr>
        <w:tc>
          <w:tcPr>
            <w:tcW w:type="dxa" w:w="1234"/>
          </w:tcPr>
          <w:p>
            <w:r>
              <w:rPr>
                <w:rFonts w:ascii="Calibri" w:hAnsi="Calibri"/>
                <w:sz w:val="22"/>
              </w:rPr>
              <w:t>Gross Profit – Non-GAAP ($M)</w:t>
            </w:r>
          </w:p>
        </w:tc>
        <w:tc>
          <w:tcPr>
            <w:tcW w:type="dxa" w:w="1234"/>
          </w:tcPr>
          <w:p>
            <w:r>
              <w:rPr>
                <w:rFonts w:ascii="Calibri" w:hAnsi="Calibri"/>
                <w:sz w:val="22"/>
              </w:rPr>
              <w:t>$781.0</w:t>
            </w:r>
          </w:p>
        </w:tc>
        <w:tc>
          <w:tcPr>
            <w:tcW w:type="dxa" w:w="1234"/>
          </w:tcPr>
          <w:p>
            <w:r>
              <w:rPr>
                <w:rFonts w:ascii="Calibri" w:hAnsi="Calibri"/>
                <w:sz w:val="22"/>
              </w:rPr>
              <w:t>$373.3</w:t>
            </w:r>
          </w:p>
        </w:tc>
        <w:tc>
          <w:tcPr>
            <w:tcW w:type="dxa" w:w="1234"/>
          </w:tcPr>
          <w:p>
            <w:r>
              <w:rPr>
                <w:rFonts w:ascii="Calibri" w:hAnsi="Calibri"/>
                <w:sz w:val="22"/>
              </w:rPr>
              <w:t>$713.3</w:t>
            </w:r>
          </w:p>
        </w:tc>
        <w:tc>
          <w:tcPr>
            <w:tcW w:type="dxa" w:w="1234"/>
          </w:tcPr>
          <w:p>
            <w:r>
              <w:rPr>
                <w:rFonts w:ascii="Calibri" w:hAnsi="Calibri"/>
                <w:sz w:val="22"/>
              </w:rPr>
              <w:t>+91.1%</w:t>
            </w:r>
          </w:p>
        </w:tc>
        <w:tc>
          <w:tcPr>
            <w:tcW w:type="dxa" w:w="1234"/>
          </w:tcPr>
          <w:p>
            <w:r>
              <w:rPr>
                <w:rFonts w:ascii="Calibri" w:hAnsi="Calibri"/>
                <w:sz w:val="22"/>
              </w:rPr>
              <w:t>58%–59% gross margin (normalized)</w:t>
            </w:r>
          </w:p>
        </w:tc>
        <w:tc>
          <w:tcPr>
            <w:tcW w:type="dxa" w:w="1234"/>
          </w:tcPr>
          <w:p>
            <w:r>
              <w:rPr>
                <w:rFonts w:ascii="Calibri" w:hAnsi="Calibri"/>
                <w:sz w:val="22"/>
              </w:rPr>
              <w:t>~58.7% implied vs. 58–59% range</w:t>
            </w:r>
          </w:p>
        </w:tc>
      </w:tr>
    </w:tbl>
    <w:p>
      <w:r>
        <w:rPr>
          <w:rFonts w:ascii="Calibri" w:hAnsi="Calibri"/>
          <w:color w:val="525866"/>
          <w:sz w:val="22"/>
        </w:rPr>
        <w:t>Sources: Visible Alpha Consensus and Actuals Data (Net revenues, EPS – Diluted – Operating, Semiconductor Test, SoC Test, Memory Test, Robotics, Gross profit/(loss) – Operating). Guidance from Q1 2026 Earnings Call (April 29,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Net Revenue ($M) | KPI 2: Non-GAAP EPS (Diluted)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($M)</w:t>
            </w:r>
          </w:p>
        </w:tc>
        <w:tc>
          <w:tcPr>
            <w:tcW w:type="dxa" w:w="1080"/>
            <w:shd w:val="clear" w:color="auto" w:fill="3B4259"/>
          </w:tcPr>
          <w:p>
            <w:r>
              <w:rPr>
                <w:rFonts w:ascii="Calibri" w:hAnsi="Calibri"/>
                <w:b/>
                <w:color w:val="FFFFFF"/>
                <w:sz w:val="22"/>
              </w:rPr>
              <w:t>Revenue Consensus ($M)</w:t>
            </w:r>
          </w:p>
        </w:tc>
        <w:tc>
          <w:tcPr>
            <w:tcW w:type="dxa" w:w="1080"/>
            <w:shd w:val="clear" w:color="auto" w:fill="3B4259"/>
          </w:tcPr>
          <w:p>
            <w:r>
              <w:rPr>
                <w:rFonts w:ascii="Calibri" w:hAnsi="Calibri"/>
                <w:b/>
                <w:color w:val="FFFFFF"/>
                <w:sz w:val="22"/>
              </w:rPr>
              <w:t>Revenue Surprise %</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$1,282.5</w:t>
            </w:r>
          </w:p>
        </w:tc>
        <w:tc>
          <w:tcPr>
            <w:tcW w:type="dxa" w:w="1080"/>
          </w:tcPr>
          <w:p>
            <w:r>
              <w:rPr>
                <w:rFonts w:ascii="Calibri" w:hAnsi="Calibri"/>
                <w:sz w:val="22"/>
              </w:rPr>
              <w:t>$1,214.7</w:t>
            </w:r>
          </w:p>
        </w:tc>
        <w:tc>
          <w:tcPr>
            <w:tcW w:type="dxa" w:w="1080"/>
          </w:tcPr>
          <w:p>
            <w:r>
              <w:rPr>
                <w:rFonts w:ascii="Calibri" w:hAnsi="Calibri"/>
                <w:b/>
                <w:color w:val="30A46C"/>
                <w:sz w:val="22"/>
              </w:rPr>
              <w:t>+5.6%</w:t>
            </w:r>
          </w:p>
        </w:tc>
        <w:tc>
          <w:tcPr>
            <w:tcW w:type="dxa" w:w="1080"/>
          </w:tcPr>
          <w:p>
            <w:r>
              <w:rPr>
                <w:rFonts w:ascii="Calibri" w:hAnsi="Calibri"/>
                <w:sz w:val="22"/>
              </w:rPr>
              <w:t>$2.56</w:t>
            </w:r>
          </w:p>
        </w:tc>
        <w:tc>
          <w:tcPr>
            <w:tcW w:type="dxa" w:w="1080"/>
          </w:tcPr>
          <w:p>
            <w:r>
              <w:rPr>
                <w:rFonts w:ascii="Calibri" w:hAnsi="Calibri"/>
                <w:sz w:val="22"/>
              </w:rPr>
              <w:t>$2.11</w:t>
            </w:r>
          </w:p>
        </w:tc>
        <w:tc>
          <w:tcPr>
            <w:tcW w:type="dxa" w:w="1080"/>
          </w:tcPr>
          <w:p>
            <w:r>
              <w:rPr>
                <w:rFonts w:ascii="Calibri" w:hAnsi="Calibri"/>
                <w:b/>
                <w:color w:val="30A46C"/>
                <w:sz w:val="22"/>
              </w:rPr>
              <w:t>+21.3%</w:t>
            </w:r>
          </w:p>
        </w:tc>
        <w:tc>
          <w:tcPr>
            <w:tcW w:type="dxa" w:w="1080"/>
          </w:tcPr>
          <w:p>
            <w:r>
              <w:rPr>
                <w:rFonts w:ascii="Calibri" w:hAnsi="Calibri"/>
                <w:sz w:val="22"/>
              </w:rPr>
              <w:t>Beat / Beat</w:t>
            </w:r>
          </w:p>
        </w:tc>
      </w:tr>
      <w:tr>
        <w:tc>
          <w:tcPr>
            <w:tcW w:type="dxa" w:w="1080"/>
          </w:tcPr>
          <w:p>
            <w:r>
              <w:rPr>
                <w:rFonts w:ascii="Calibri" w:hAnsi="Calibri"/>
                <w:sz w:val="22"/>
              </w:rPr>
              <w:t>Q4 2025</w:t>
            </w:r>
          </w:p>
        </w:tc>
        <w:tc>
          <w:tcPr>
            <w:tcW w:type="dxa" w:w="1080"/>
          </w:tcPr>
          <w:p>
            <w:r>
              <w:rPr>
                <w:rFonts w:ascii="Calibri" w:hAnsi="Calibri"/>
                <w:sz w:val="22"/>
              </w:rPr>
              <w:t>$1,083.3</w:t>
            </w:r>
          </w:p>
        </w:tc>
        <w:tc>
          <w:tcPr>
            <w:tcW w:type="dxa" w:w="1080"/>
          </w:tcPr>
          <w:p>
            <w:r>
              <w:rPr>
                <w:rFonts w:ascii="Calibri" w:hAnsi="Calibri"/>
                <w:sz w:val="22"/>
              </w:rPr>
              <w:t>$975.6</w:t>
            </w:r>
          </w:p>
        </w:tc>
        <w:tc>
          <w:tcPr>
            <w:tcW w:type="dxa" w:w="1080"/>
          </w:tcPr>
          <w:p>
            <w:r>
              <w:rPr>
                <w:rFonts w:ascii="Calibri" w:hAnsi="Calibri"/>
                <w:b/>
                <w:color w:val="30A46C"/>
                <w:sz w:val="22"/>
              </w:rPr>
              <w:t>+11.1%</w:t>
            </w:r>
          </w:p>
        </w:tc>
        <w:tc>
          <w:tcPr>
            <w:tcW w:type="dxa" w:w="1080"/>
          </w:tcPr>
          <w:p>
            <w:r>
              <w:rPr>
                <w:rFonts w:ascii="Calibri" w:hAnsi="Calibri"/>
                <w:sz w:val="22"/>
              </w:rPr>
              <w:t>$1.80</w:t>
            </w:r>
          </w:p>
        </w:tc>
        <w:tc>
          <w:tcPr>
            <w:tcW w:type="dxa" w:w="1080"/>
          </w:tcPr>
          <w:p>
            <w:r>
              <w:rPr>
                <w:rFonts w:ascii="Calibri" w:hAnsi="Calibri"/>
                <w:sz w:val="22"/>
              </w:rPr>
              <w:t>$1.37</w:t>
            </w:r>
          </w:p>
        </w:tc>
        <w:tc>
          <w:tcPr>
            <w:tcW w:type="dxa" w:w="1080"/>
          </w:tcPr>
          <w:p>
            <w:r>
              <w:rPr>
                <w:rFonts w:ascii="Calibri" w:hAnsi="Calibri"/>
                <w:b/>
                <w:color w:val="30A46C"/>
                <w:sz w:val="22"/>
              </w:rPr>
              <w:t>+31.4%</w:t>
            </w:r>
          </w:p>
        </w:tc>
        <w:tc>
          <w:tcPr>
            <w:tcW w:type="dxa" w:w="1080"/>
          </w:tcPr>
          <w:p>
            <w:r>
              <w:rPr>
                <w:rFonts w:ascii="Calibri" w:hAnsi="Calibri"/>
                <w:sz w:val="22"/>
              </w:rPr>
              <w:t>Beat / Beat</w:t>
            </w:r>
          </w:p>
        </w:tc>
      </w:tr>
      <w:tr>
        <w:tc>
          <w:tcPr>
            <w:tcW w:type="dxa" w:w="1080"/>
          </w:tcPr>
          <w:p>
            <w:r>
              <w:rPr>
                <w:rFonts w:ascii="Calibri" w:hAnsi="Calibri"/>
                <w:sz w:val="22"/>
              </w:rPr>
              <w:t>Q3 2025</w:t>
            </w:r>
          </w:p>
        </w:tc>
        <w:tc>
          <w:tcPr>
            <w:tcW w:type="dxa" w:w="1080"/>
          </w:tcPr>
          <w:p>
            <w:r>
              <w:rPr>
                <w:rFonts w:ascii="Calibri" w:hAnsi="Calibri"/>
                <w:sz w:val="22"/>
              </w:rPr>
              <w:t>$769.2</w:t>
            </w:r>
          </w:p>
        </w:tc>
        <w:tc>
          <w:tcPr>
            <w:tcW w:type="dxa" w:w="1080"/>
          </w:tcPr>
          <w:p>
            <w:r>
              <w:rPr>
                <w:rFonts w:ascii="Calibri" w:hAnsi="Calibri"/>
                <w:sz w:val="22"/>
              </w:rPr>
              <w:t>$744.9</w:t>
            </w:r>
          </w:p>
        </w:tc>
        <w:tc>
          <w:tcPr>
            <w:tcW w:type="dxa" w:w="1080"/>
          </w:tcPr>
          <w:p>
            <w:r>
              <w:rPr>
                <w:rFonts w:ascii="Calibri" w:hAnsi="Calibri"/>
                <w:b/>
                <w:color w:val="30A46C"/>
                <w:sz w:val="22"/>
              </w:rPr>
              <w:t>+3.3%</w:t>
            </w:r>
          </w:p>
        </w:tc>
        <w:tc>
          <w:tcPr>
            <w:tcW w:type="dxa" w:w="1080"/>
          </w:tcPr>
          <w:p>
            <w:r>
              <w:rPr>
                <w:rFonts w:ascii="Calibri" w:hAnsi="Calibri"/>
                <w:sz w:val="22"/>
              </w:rPr>
              <w:t>$0.85</w:t>
            </w:r>
          </w:p>
        </w:tc>
        <w:tc>
          <w:tcPr>
            <w:tcW w:type="dxa" w:w="1080"/>
          </w:tcPr>
          <w:p>
            <w:r>
              <w:rPr>
                <w:rFonts w:ascii="Calibri" w:hAnsi="Calibri"/>
                <w:sz w:val="22"/>
              </w:rPr>
              <w:t>$0.79</w:t>
            </w:r>
          </w:p>
        </w:tc>
        <w:tc>
          <w:tcPr>
            <w:tcW w:type="dxa" w:w="1080"/>
          </w:tcPr>
          <w:p>
            <w:r>
              <w:rPr>
                <w:rFonts w:ascii="Calibri" w:hAnsi="Calibri"/>
                <w:b/>
                <w:color w:val="30A46C"/>
                <w:sz w:val="22"/>
              </w:rPr>
              <w:t>+7.6%</w:t>
            </w:r>
          </w:p>
        </w:tc>
        <w:tc>
          <w:tcPr>
            <w:tcW w:type="dxa" w:w="1080"/>
          </w:tcPr>
          <w:p>
            <w:r>
              <w:rPr>
                <w:rFonts w:ascii="Calibri" w:hAnsi="Calibri"/>
                <w:sz w:val="22"/>
              </w:rPr>
              <w:t>Beat / Beat</w:t>
            </w:r>
          </w:p>
        </w:tc>
      </w:tr>
      <w:tr>
        <w:tc>
          <w:tcPr>
            <w:tcW w:type="dxa" w:w="1080"/>
          </w:tcPr>
          <w:p>
            <w:r>
              <w:rPr>
                <w:rFonts w:ascii="Calibri" w:hAnsi="Calibri"/>
                <w:sz w:val="22"/>
              </w:rPr>
              <w:t>Q2 2025</w:t>
            </w:r>
          </w:p>
        </w:tc>
        <w:tc>
          <w:tcPr>
            <w:tcW w:type="dxa" w:w="1080"/>
          </w:tcPr>
          <w:p>
            <w:r>
              <w:rPr>
                <w:rFonts w:ascii="Calibri" w:hAnsi="Calibri"/>
                <w:sz w:val="22"/>
              </w:rPr>
              <w:t>$651.8</w:t>
            </w:r>
          </w:p>
        </w:tc>
        <w:tc>
          <w:tcPr>
            <w:tcW w:type="dxa" w:w="1080"/>
          </w:tcPr>
          <w:p>
            <w:r>
              <w:rPr>
                <w:rFonts w:ascii="Calibri" w:hAnsi="Calibri"/>
                <w:sz w:val="22"/>
              </w:rPr>
              <w:t>$650.5</w:t>
            </w:r>
          </w:p>
        </w:tc>
        <w:tc>
          <w:tcPr>
            <w:tcW w:type="dxa" w:w="1080"/>
          </w:tcPr>
          <w:p>
            <w:r>
              <w:rPr>
                <w:rFonts w:ascii="Calibri" w:hAnsi="Calibri"/>
                <w:b/>
                <w:color w:val="30A46C"/>
                <w:sz w:val="22"/>
              </w:rPr>
              <w:t>+0.2%</w:t>
            </w:r>
          </w:p>
        </w:tc>
        <w:tc>
          <w:tcPr>
            <w:tcW w:type="dxa" w:w="1080"/>
          </w:tcPr>
          <w:p>
            <w:r>
              <w:rPr>
                <w:rFonts w:ascii="Calibri" w:hAnsi="Calibri"/>
                <w:sz w:val="22"/>
              </w:rPr>
              <w:t>$0.57</w:t>
            </w:r>
          </w:p>
        </w:tc>
        <w:tc>
          <w:tcPr>
            <w:tcW w:type="dxa" w:w="1080"/>
          </w:tcPr>
          <w:p>
            <w:r>
              <w:rPr>
                <w:rFonts w:ascii="Calibri" w:hAnsi="Calibri"/>
                <w:sz w:val="22"/>
              </w:rPr>
              <w:t>$0.54</w:t>
            </w:r>
          </w:p>
        </w:tc>
        <w:tc>
          <w:tcPr>
            <w:tcW w:type="dxa" w:w="1080"/>
          </w:tcPr>
          <w:p>
            <w:r>
              <w:rPr>
                <w:rFonts w:ascii="Calibri" w:hAnsi="Calibri"/>
                <w:b/>
                <w:color w:val="30A46C"/>
                <w:sz w:val="22"/>
              </w:rPr>
              <w:t>+5.6%</w:t>
            </w:r>
          </w:p>
        </w:tc>
        <w:tc>
          <w:tcPr>
            <w:tcW w:type="dxa" w:w="1080"/>
          </w:tcPr>
          <w:p>
            <w:r>
              <w:rPr>
                <w:rFonts w:ascii="Calibri" w:hAnsi="Calibri"/>
                <w:sz w:val="22"/>
              </w:rPr>
              <w:t>Beat / Beat</w:t>
            </w:r>
          </w:p>
        </w:tc>
      </w:tr>
      <w:tr>
        <w:tc>
          <w:tcPr>
            <w:tcW w:type="dxa" w:w="1080"/>
          </w:tcPr>
          <w:p>
            <w:r>
              <w:rPr>
                <w:rFonts w:ascii="Calibri" w:hAnsi="Calibri"/>
                <w:sz w:val="22"/>
              </w:rPr>
              <w:t>Q1 2025</w:t>
            </w:r>
          </w:p>
        </w:tc>
        <w:tc>
          <w:tcPr>
            <w:tcW w:type="dxa" w:w="1080"/>
          </w:tcPr>
          <w:p>
            <w:r>
              <w:rPr>
                <w:rFonts w:ascii="Calibri" w:hAnsi="Calibri"/>
                <w:sz w:val="22"/>
              </w:rPr>
              <w:t>$685.7</w:t>
            </w:r>
          </w:p>
        </w:tc>
        <w:tc>
          <w:tcPr>
            <w:tcW w:type="dxa" w:w="1080"/>
          </w:tcPr>
          <w:p>
            <w:r>
              <w:rPr>
                <w:rFonts w:ascii="Calibri" w:hAnsi="Calibri"/>
                <w:sz w:val="22"/>
              </w:rPr>
              <w:t>$683.9</w:t>
            </w:r>
          </w:p>
        </w:tc>
        <w:tc>
          <w:tcPr>
            <w:tcW w:type="dxa" w:w="1080"/>
          </w:tcPr>
          <w:p>
            <w:r>
              <w:rPr>
                <w:rFonts w:ascii="Calibri" w:hAnsi="Calibri"/>
                <w:b/>
                <w:color w:val="30A46C"/>
                <w:sz w:val="22"/>
              </w:rPr>
              <w:t>+0.3%</w:t>
            </w:r>
          </w:p>
        </w:tc>
        <w:tc>
          <w:tcPr>
            <w:tcW w:type="dxa" w:w="1080"/>
          </w:tcPr>
          <w:p>
            <w:r>
              <w:rPr>
                <w:rFonts w:ascii="Calibri" w:hAnsi="Calibri"/>
                <w:sz w:val="22"/>
              </w:rPr>
              <w:t>$0.75</w:t>
            </w:r>
          </w:p>
        </w:tc>
        <w:tc>
          <w:tcPr>
            <w:tcW w:type="dxa" w:w="1080"/>
          </w:tcPr>
          <w:p>
            <w:r>
              <w:rPr>
                <w:rFonts w:ascii="Calibri" w:hAnsi="Calibri"/>
                <w:sz w:val="22"/>
              </w:rPr>
              <w:t>$0.62</w:t>
            </w:r>
          </w:p>
        </w:tc>
        <w:tc>
          <w:tcPr>
            <w:tcW w:type="dxa" w:w="1080"/>
          </w:tcPr>
          <w:p>
            <w:r>
              <w:rPr>
                <w:rFonts w:ascii="Calibri" w:hAnsi="Calibri"/>
                <w:b/>
                <w:color w:val="30A46C"/>
                <w:sz w:val="22"/>
              </w:rPr>
              <w:t>+21.0%</w:t>
            </w:r>
          </w:p>
        </w:tc>
        <w:tc>
          <w:tcPr>
            <w:tcW w:type="dxa" w:w="1080"/>
          </w:tcPr>
          <w:p>
            <w:r>
              <w:rPr>
                <w:rFonts w:ascii="Calibri" w:hAnsi="Calibri"/>
                <w:sz w:val="22"/>
              </w:rPr>
              <w:t>Beat / Beat</w:t>
            </w:r>
          </w:p>
        </w:tc>
      </w:tr>
      <w:tr>
        <w:tc>
          <w:tcPr>
            <w:tcW w:type="dxa" w:w="1080"/>
          </w:tcPr>
          <w:p>
            <w:r>
              <w:rPr>
                <w:rFonts w:ascii="Calibri" w:hAnsi="Calibri"/>
                <w:sz w:val="22"/>
              </w:rPr>
              <w:t>Q4 2024</w:t>
            </w:r>
          </w:p>
        </w:tc>
        <w:tc>
          <w:tcPr>
            <w:tcW w:type="dxa" w:w="1080"/>
          </w:tcPr>
          <w:p>
            <w:r>
              <w:rPr>
                <w:rFonts w:ascii="Calibri" w:hAnsi="Calibri"/>
                <w:sz w:val="22"/>
              </w:rPr>
              <w:t>$752.9</w:t>
            </w:r>
          </w:p>
        </w:tc>
        <w:tc>
          <w:tcPr>
            <w:tcW w:type="dxa" w:w="1080"/>
          </w:tcPr>
          <w:p>
            <w:r>
              <w:rPr>
                <w:rFonts w:ascii="Calibri" w:hAnsi="Calibri"/>
                <w:sz w:val="22"/>
              </w:rPr>
              <w:t>$742.1</w:t>
            </w:r>
          </w:p>
        </w:tc>
        <w:tc>
          <w:tcPr>
            <w:tcW w:type="dxa" w:w="1080"/>
          </w:tcPr>
          <w:p>
            <w:r>
              <w:rPr>
                <w:rFonts w:ascii="Calibri" w:hAnsi="Calibri"/>
                <w:b/>
                <w:color w:val="30A46C"/>
                <w:sz w:val="22"/>
              </w:rPr>
              <w:t>+1.5%</w:t>
            </w:r>
          </w:p>
        </w:tc>
        <w:tc>
          <w:tcPr>
            <w:tcW w:type="dxa" w:w="1080"/>
          </w:tcPr>
          <w:p>
            <w:r>
              <w:rPr>
                <w:rFonts w:ascii="Calibri" w:hAnsi="Calibri"/>
                <w:sz w:val="22"/>
              </w:rPr>
              <w:t>$0.95</w:t>
            </w:r>
          </w:p>
        </w:tc>
        <w:tc>
          <w:tcPr>
            <w:tcW w:type="dxa" w:w="1080"/>
          </w:tcPr>
          <w:p>
            <w:r>
              <w:rPr>
                <w:rFonts w:ascii="Calibri" w:hAnsi="Calibri"/>
                <w:sz w:val="22"/>
              </w:rPr>
              <w:t>$0.92</w:t>
            </w:r>
          </w:p>
        </w:tc>
        <w:tc>
          <w:tcPr>
            <w:tcW w:type="dxa" w:w="1080"/>
          </w:tcPr>
          <w:p>
            <w:r>
              <w:rPr>
                <w:rFonts w:ascii="Calibri" w:hAnsi="Calibri"/>
                <w:b/>
                <w:color w:val="30A46C"/>
                <w:sz w:val="22"/>
              </w:rPr>
              <w:t>+3.3%</w:t>
            </w:r>
          </w:p>
        </w:tc>
        <w:tc>
          <w:tcPr>
            <w:tcW w:type="dxa" w:w="1080"/>
          </w:tcPr>
          <w:p>
            <w:r>
              <w:rPr>
                <w:rFonts w:ascii="Calibri" w:hAnsi="Calibri"/>
                <w:sz w:val="22"/>
              </w:rPr>
              <w:t>Beat / Beat</w:t>
            </w:r>
          </w:p>
        </w:tc>
      </w:tr>
      <w:tr>
        <w:tc>
          <w:tcPr>
            <w:tcW w:type="dxa" w:w="1080"/>
          </w:tcPr>
          <w:p>
            <w:r>
              <w:rPr>
                <w:rFonts w:ascii="Calibri" w:hAnsi="Calibri"/>
                <w:sz w:val="22"/>
              </w:rPr>
              <w:t>Q3 2024</w:t>
            </w:r>
          </w:p>
        </w:tc>
        <w:tc>
          <w:tcPr>
            <w:tcW w:type="dxa" w:w="1080"/>
          </w:tcPr>
          <w:p>
            <w:r>
              <w:rPr>
                <w:rFonts w:ascii="Calibri" w:hAnsi="Calibri"/>
                <w:sz w:val="22"/>
              </w:rPr>
              <w:t>$737.3</w:t>
            </w:r>
          </w:p>
        </w:tc>
        <w:tc>
          <w:tcPr>
            <w:tcW w:type="dxa" w:w="1080"/>
          </w:tcPr>
          <w:p>
            <w:r>
              <w:rPr>
                <w:rFonts w:ascii="Calibri" w:hAnsi="Calibri"/>
                <w:sz w:val="22"/>
              </w:rPr>
              <w:t>$717.2</w:t>
            </w:r>
          </w:p>
        </w:tc>
        <w:tc>
          <w:tcPr>
            <w:tcW w:type="dxa" w:w="1080"/>
          </w:tcPr>
          <w:p>
            <w:r>
              <w:rPr>
                <w:rFonts w:ascii="Calibri" w:hAnsi="Calibri"/>
                <w:b/>
                <w:color w:val="30A46C"/>
                <w:sz w:val="22"/>
              </w:rPr>
              <w:t>+2.8%</w:t>
            </w:r>
          </w:p>
        </w:tc>
        <w:tc>
          <w:tcPr>
            <w:tcW w:type="dxa" w:w="1080"/>
          </w:tcPr>
          <w:p>
            <w:r>
              <w:rPr>
                <w:rFonts w:ascii="Calibri" w:hAnsi="Calibri"/>
                <w:sz w:val="22"/>
              </w:rPr>
              <w:t>$0.90</w:t>
            </w:r>
          </w:p>
        </w:tc>
        <w:tc>
          <w:tcPr>
            <w:tcW w:type="dxa" w:w="1080"/>
          </w:tcPr>
          <w:p>
            <w:r>
              <w:rPr>
                <w:rFonts w:ascii="Calibri" w:hAnsi="Calibri"/>
                <w:sz w:val="22"/>
              </w:rPr>
              <w:t>$0.79</w:t>
            </w:r>
          </w:p>
        </w:tc>
        <w:tc>
          <w:tcPr>
            <w:tcW w:type="dxa" w:w="1080"/>
          </w:tcPr>
          <w:p>
            <w:r>
              <w:rPr>
                <w:rFonts w:ascii="Calibri" w:hAnsi="Calibri"/>
                <w:b/>
                <w:color w:val="30A46C"/>
                <w:sz w:val="22"/>
              </w:rPr>
              <w:t>+13.9%</w:t>
            </w:r>
          </w:p>
        </w:tc>
        <w:tc>
          <w:tcPr>
            <w:tcW w:type="dxa" w:w="1080"/>
          </w:tcPr>
          <w:p>
            <w:r>
              <w:rPr>
                <w:rFonts w:ascii="Calibri" w:hAnsi="Calibri"/>
                <w:sz w:val="22"/>
              </w:rPr>
              <w:t>Beat / Beat</w:t>
            </w:r>
          </w:p>
        </w:tc>
      </w:tr>
      <w:tr>
        <w:tc>
          <w:tcPr>
            <w:tcW w:type="dxa" w:w="1080"/>
          </w:tcPr>
          <w:p>
            <w:r>
              <w:rPr>
                <w:rFonts w:ascii="Calibri" w:hAnsi="Calibri"/>
                <w:sz w:val="22"/>
              </w:rPr>
              <w:t>Q2 2024</w:t>
            </w:r>
          </w:p>
        </w:tc>
        <w:tc>
          <w:tcPr>
            <w:tcW w:type="dxa" w:w="1080"/>
          </w:tcPr>
          <w:p>
            <w:r>
              <w:rPr>
                <w:rFonts w:ascii="Calibri" w:hAnsi="Calibri"/>
                <w:sz w:val="22"/>
              </w:rPr>
              <w:t>$752.9</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$0.86</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Teradyne has beaten consensus on both revenue and non-GAAP EPS in every quarter with available data over the past seven quarters, with the magnitude of beats accelerating sharply in Q4 2025 and Q1 2026 as AI-driven demand surged well above Street expectations — the consistent beat track record sets a high implicit bar for Q2 2026.</w:t>
      </w:r>
    </w:p>
    <w:p>
      <w:r>
        <w:rPr>
          <w:rFonts w:ascii="Calibri" w:hAnsi="Calibri"/>
          <w:color w:val="525866"/>
          <w:sz w:val="22"/>
        </w:rPr>
        <w:t>Source: Visible Alpha Consensus and Actuals Data (Net revenues, EPS – Diluted – Operating).</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Estimates for Q2 2026 and FY 2026 have been remarkably stable since the Q1 print — revenue and EPS revisions are essentially flat — indicating the Street has fully absorbed guidance without adding incremental optimism; the lack of upward revision despite strong peer read-throughs suggests the bar is not being raised, which is a mild positive setup.</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 Apr 29)</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 Q2 2026 ($M)</w:t>
            </w:r>
          </w:p>
        </w:tc>
        <w:tc>
          <w:tcPr>
            <w:tcW w:type="dxa" w:w="1080"/>
          </w:tcPr>
          <w:p>
            <w:r>
              <w:rPr>
                <w:rFonts w:ascii="Calibri" w:hAnsi="Calibri"/>
                <w:sz w:val="22"/>
              </w:rPr>
              <w:t>$1,212.4</w:t>
            </w:r>
          </w:p>
        </w:tc>
        <w:tc>
          <w:tcPr>
            <w:tcW w:type="dxa" w:w="1080"/>
          </w:tcPr>
          <w:p>
            <w:r>
              <w:rPr>
                <w:rFonts w:ascii="Calibri" w:hAnsi="Calibri"/>
                <w:sz w:val="22"/>
              </w:rPr>
              <w:t>$1,215.6</w:t>
            </w:r>
          </w:p>
        </w:tc>
        <w:tc>
          <w:tcPr>
            <w:tcW w:type="dxa" w:w="1080"/>
          </w:tcPr>
          <w:p>
            <w:r>
              <w:rPr>
                <w:rFonts w:ascii="Calibri" w:hAnsi="Calibri"/>
                <w:sz w:val="22"/>
              </w:rPr>
              <w:t>+0.3%</w:t>
            </w:r>
          </w:p>
        </w:tc>
        <w:tc>
          <w:tcPr>
            <w:tcW w:type="dxa" w:w="1080"/>
          </w:tcPr>
          <w:p>
            <w:r>
              <w:rPr>
                <w:rFonts w:ascii="Calibri" w:hAnsi="Calibri"/>
                <w:sz w:val="22"/>
              </w:rPr>
              <w:t>$1,150–$1,250M ($1,200M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 above midpoint</w:t>
            </w:r>
          </w:p>
        </w:tc>
      </w:tr>
      <w:tr>
        <w:tc>
          <w:tcPr>
            <w:tcW w:type="dxa" w:w="1080"/>
          </w:tcPr>
          <w:p>
            <w:r>
              <w:rPr>
                <w:rFonts w:ascii="Calibri" w:hAnsi="Calibri"/>
                <w:sz w:val="22"/>
              </w:rPr>
              <w:t>Non-GAAP EPS — Q2 2026</w:t>
            </w:r>
          </w:p>
        </w:tc>
        <w:tc>
          <w:tcPr>
            <w:tcW w:type="dxa" w:w="1080"/>
          </w:tcPr>
          <w:p>
            <w:r>
              <w:rPr>
                <w:rFonts w:ascii="Calibri" w:hAnsi="Calibri"/>
                <w:sz w:val="22"/>
              </w:rPr>
              <w:t>$2.052</w:t>
            </w:r>
          </w:p>
        </w:tc>
        <w:tc>
          <w:tcPr>
            <w:tcW w:type="dxa" w:w="1080"/>
          </w:tcPr>
          <w:p>
            <w:r>
              <w:rPr>
                <w:rFonts w:ascii="Calibri" w:hAnsi="Calibri"/>
                <w:sz w:val="22"/>
              </w:rPr>
              <w:t>$2.050</w:t>
            </w:r>
          </w:p>
        </w:tc>
        <w:tc>
          <w:tcPr>
            <w:tcW w:type="dxa" w:w="1080"/>
          </w:tcPr>
          <w:p>
            <w:r>
              <w:rPr>
                <w:rFonts w:ascii="Calibri" w:hAnsi="Calibri"/>
                <w:sz w:val="22"/>
              </w:rPr>
              <w:t>-0.1%</w:t>
            </w:r>
          </w:p>
        </w:tc>
        <w:tc>
          <w:tcPr>
            <w:tcW w:type="dxa" w:w="1080"/>
          </w:tcPr>
          <w:p>
            <w:r>
              <w:rPr>
                <w:rFonts w:ascii="Calibri" w:hAnsi="Calibri"/>
                <w:sz w:val="22"/>
              </w:rPr>
              <w:t>$1.86–$2.15 ($2.005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+2.2% above midpoint</w:t>
            </w:r>
          </w:p>
        </w:tc>
      </w:tr>
      <w:tr>
        <w:tc>
          <w:tcPr>
            <w:tcW w:type="dxa" w:w="1080"/>
          </w:tcPr>
          <w:p>
            <w:r>
              <w:rPr>
                <w:rFonts w:ascii="Calibri" w:hAnsi="Calibri"/>
                <w:sz w:val="22"/>
              </w:rPr>
              <w:t>Net Revenue — FY 2026 ($M)</w:t>
            </w:r>
          </w:p>
        </w:tc>
        <w:tc>
          <w:tcPr>
            <w:tcW w:type="dxa" w:w="1080"/>
          </w:tcPr>
          <w:p>
            <w:r>
              <w:rPr>
                <w:rFonts w:ascii="Calibri" w:hAnsi="Calibri"/>
                <w:sz w:val="22"/>
              </w:rPr>
              <w:t>$4,494.1</w:t>
            </w:r>
          </w:p>
        </w:tc>
        <w:tc>
          <w:tcPr>
            <w:tcW w:type="dxa" w:w="1080"/>
          </w:tcPr>
          <w:p>
            <w:r>
              <w:rPr>
                <w:rFonts w:ascii="Calibri" w:hAnsi="Calibri"/>
                <w:sz w:val="22"/>
              </w:rPr>
              <w:t>$4,513.3</w:t>
            </w:r>
          </w:p>
        </w:tc>
        <w:tc>
          <w:tcPr>
            <w:tcW w:type="dxa" w:w="1080"/>
          </w:tcPr>
          <w:p>
            <w:r>
              <w:rPr>
                <w:rFonts w:ascii="Calibri" w:hAnsi="Calibri"/>
                <w:sz w:val="22"/>
              </w:rPr>
              <w:t>+0.4%</w:t>
            </w:r>
          </w:p>
        </w:tc>
        <w:tc>
          <w:tcPr>
            <w:tcW w:type="dxa" w:w="1080"/>
          </w:tcPr>
          <w:p>
            <w:r>
              <w:rPr>
                <w:rFonts w:ascii="Calibri" w:hAnsi="Calibri"/>
                <w:sz w:val="22"/>
              </w:rPr>
              <w:t>55%–60% of annual revenue in H1 (implies ~$4.3B–$4.7B FY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implied range</w:t>
            </w:r>
          </w:p>
        </w:tc>
      </w:tr>
      <w:tr>
        <w:tc>
          <w:tcPr>
            <w:tcW w:type="dxa" w:w="1080"/>
          </w:tcPr>
          <w:p>
            <w:r>
              <w:rPr>
                <w:rFonts w:ascii="Calibri" w:hAnsi="Calibri"/>
                <w:sz w:val="22"/>
              </w:rPr>
              <w:t>Non-GAAP EPS — FY 2026</w:t>
            </w:r>
          </w:p>
        </w:tc>
        <w:tc>
          <w:tcPr>
            <w:tcW w:type="dxa" w:w="1080"/>
          </w:tcPr>
          <w:p>
            <w:r>
              <w:rPr>
                <w:rFonts w:ascii="Calibri" w:hAnsi="Calibri"/>
                <w:sz w:val="22"/>
              </w:rPr>
              <w:t>$7.221</w:t>
            </w:r>
          </w:p>
        </w:tc>
        <w:tc>
          <w:tcPr>
            <w:tcW w:type="dxa" w:w="1080"/>
          </w:tcPr>
          <w:p>
            <w:r>
              <w:rPr>
                <w:rFonts w:ascii="Calibri" w:hAnsi="Calibri"/>
                <w:sz w:val="22"/>
              </w:rPr>
              <w:t>$7.389</w:t>
            </w:r>
          </w:p>
        </w:tc>
        <w:tc>
          <w:tcPr>
            <w:tcW w:type="dxa" w:w="1080"/>
          </w:tcPr>
          <w:p>
            <w:r>
              <w:rPr>
                <w:rFonts w:ascii="Calibri" w:hAnsi="Calibri"/>
                <w:sz w:val="22"/>
              </w:rPr>
              <w:t>+2.3%</w:t>
            </w:r>
          </w:p>
        </w:tc>
        <w:tc>
          <w:tcPr>
            <w:tcW w:type="dxa" w:w="1080"/>
          </w:tcPr>
          <w:p>
            <w:r>
              <w:rPr>
                <w:rFonts w:ascii="Calibri" w:hAnsi="Calibri"/>
                <w:sz w:val="22"/>
              </w:rPr>
              <w:t>No explicit FY EPS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SoC Test Revenue — Q2 2026 ($M)</w:t>
            </w:r>
          </w:p>
        </w:tc>
        <w:tc>
          <w:tcPr>
            <w:tcW w:type="dxa" w:w="1080"/>
          </w:tcPr>
          <w:p>
            <w:r>
              <w:rPr>
                <w:rFonts w:ascii="Calibri" w:hAnsi="Calibri"/>
                <w:sz w:val="22"/>
              </w:rPr>
              <w:t>$814.8</w:t>
            </w:r>
          </w:p>
        </w:tc>
        <w:tc>
          <w:tcPr>
            <w:tcW w:type="dxa" w:w="1080"/>
          </w:tcPr>
          <w:p>
            <w:r>
              <w:rPr>
                <w:rFonts w:ascii="Calibri" w:hAnsi="Calibri"/>
                <w:sz w:val="22"/>
              </w:rPr>
              <w:t>$813.0</w:t>
            </w:r>
          </w:p>
        </w:tc>
        <w:tc>
          <w:tcPr>
            <w:tcW w:type="dxa" w:w="1080"/>
          </w:tcPr>
          <w:p>
            <w:r>
              <w:rPr>
                <w:rFonts w:ascii="Calibri" w:hAnsi="Calibri"/>
                <w:sz w:val="22"/>
              </w:rPr>
              <w:t>-0.2%</w:t>
            </w:r>
          </w:p>
        </w:tc>
        <w:tc>
          <w:tcPr>
            <w:tcW w:type="dxa" w:w="1080"/>
          </w:tcPr>
          <w:p>
            <w:r>
              <w:rPr>
                <w:rFonts w:ascii="Calibri" w:hAnsi="Calibri"/>
                <w:sz w:val="22"/>
              </w:rPr>
              <w:t>No segment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Memory Test Revenue — Q2 2026 ($M)</w:t>
            </w:r>
          </w:p>
        </w:tc>
        <w:tc>
          <w:tcPr>
            <w:tcW w:type="dxa" w:w="1080"/>
          </w:tcPr>
          <w:p>
            <w:r>
              <w:rPr>
                <w:rFonts w:ascii="Calibri" w:hAnsi="Calibri"/>
                <w:sz w:val="22"/>
              </w:rPr>
              <w:t>$186.6</w:t>
            </w:r>
          </w:p>
        </w:tc>
        <w:tc>
          <w:tcPr>
            <w:tcW w:type="dxa" w:w="1080"/>
          </w:tcPr>
          <w:p>
            <w:r>
              <w:rPr>
                <w:rFonts w:ascii="Calibri" w:hAnsi="Calibri"/>
                <w:sz w:val="22"/>
              </w:rPr>
              <w:t>$187.3</w:t>
            </w:r>
          </w:p>
        </w:tc>
        <w:tc>
          <w:tcPr>
            <w:tcW w:type="dxa" w:w="1080"/>
          </w:tcPr>
          <w:p>
            <w:r>
              <w:rPr>
                <w:rFonts w:ascii="Calibri" w:hAnsi="Calibri"/>
                <w:sz w:val="22"/>
              </w:rPr>
              <w:t>+0.4%</w:t>
            </w:r>
          </w:p>
        </w:tc>
        <w:tc>
          <w:tcPr>
            <w:tcW w:type="dxa" w:w="1080"/>
          </w:tcPr>
          <w:p>
            <w:r>
              <w:rPr>
                <w:rFonts w:ascii="Calibri" w:hAnsi="Calibri"/>
                <w:sz w:val="22"/>
              </w:rPr>
              <w:t>No segment guidance; back-half weighted per mgmt</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Source: Visible Alpha Consensus and Actuals Data. As-of-date baseline uses May 6, 2026 (approximately 5 trading days post Q1 2026 earnings on April 29, 2026).</w:t>
      </w:r>
    </w:p>
    <w:p>
      <w:r>
        <w:rPr>
          <w:rFonts w:ascii="Calibri" w:hAnsi="Calibri"/>
          <w:color w:val="525866"/>
          <w:sz w:val="22"/>
        </w:rPr>
        <w:t>The near-zero revision delta across all KPIs since the Q1 print is notable: the Street has not added incremental optimism despite strong peer commentary (AMKR, TXN, AEHR all signaling robust AI/compute demand) and has not cut estimates despite the stock's ~31% drawdown from its June 30 peak. This divergence between price action and stable estimates suggests the de-rating has been multiple-driven rather than fundamental, and that the bar entering Q2 results is essentially unchanged from where it was set on April 29.</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TER's ~12% gain since Q1 earnings (Apr 28 close: $380) masks extreme volatility — the stock rallied to $484 (+27%) by June 30 before a sharp ~31% reversal to ~$335 by late July; the drawdown has been entirely multiple-driven (NTM P/E compressed from ~50x to ~39x) with estimates essentially unchanged, suggesting sentiment and macro/sector rotation are the dominant forces rather than fundamental deterioration.</w:t>
      </w:r>
    </w:p>
    <w:p>
      <w:r>
        <w:rPr>
          <w:rFonts w:ascii="Calibri" w:hAnsi="Calibri"/>
          <w:b/>
          <w:color w:val="525866"/>
          <w:sz w:val="22"/>
        </w:rPr>
        <w:t>Chart: TER vs. SOXX vs. S&amp;P 500 — Indexed to 100 at April 28, 2026 (Last Q1 Earnings Date)</w:t>
      </w:r>
    </w:p>
    <w:p>
      <w:r>
        <w:rPr>
          <w:rFonts w:ascii="Calibri" w:hAnsi="Calibri"/>
          <w:color w:val="525866"/>
          <w:sz w:val="22"/>
        </w:rPr>
        <w:t>Note: The chart below indexes all three series to 100 at the April 28, 2026 close (the day before Q1 2026 earnings were reported after market close). TER is shown in dark navy, SOXX (PHLX Semiconductor ETF) in mid-grey dashed, and S&amp;P 500 (SPY) in light grey dashed. Key events are annotated.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TER Price</w:t>
            </w:r>
          </w:p>
        </w:tc>
        <w:tc>
          <w:tcPr>
            <w:tcW w:type="dxa" w:w="1440"/>
            <w:shd w:val="clear" w:color="auto" w:fill="3B4259"/>
          </w:tcPr>
          <w:p>
            <w:r>
              <w:rPr>
                <w:rFonts w:ascii="Calibri" w:hAnsi="Calibri"/>
                <w:b/>
                <w:color w:val="FFFFFF"/>
                <w:sz w:val="22"/>
              </w:rPr>
              <w:t>TER Indexed</w:t>
            </w:r>
          </w:p>
        </w:tc>
        <w:tc>
          <w:tcPr>
            <w:tcW w:type="dxa" w:w="1440"/>
            <w:shd w:val="clear" w:color="auto" w:fill="3B4259"/>
          </w:tcPr>
          <w:p>
            <w:r>
              <w:rPr>
                <w:rFonts w:ascii="Calibri" w:hAnsi="Calibri"/>
                <w:b/>
                <w:color w:val="FFFFFF"/>
                <w:sz w:val="22"/>
              </w:rPr>
              <w:t>SOXX Indexed</w:t>
            </w:r>
          </w:p>
        </w:tc>
        <w:tc>
          <w:tcPr>
            <w:tcW w:type="dxa" w:w="1440"/>
            <w:shd w:val="clear" w:color="auto" w:fill="3B4259"/>
          </w:tcPr>
          <w:p>
            <w:r>
              <w:rPr>
                <w:rFonts w:ascii="Calibri" w:hAnsi="Calibri"/>
                <w:b/>
                <w:color w:val="FFFFFF"/>
                <w:sz w:val="22"/>
              </w:rPr>
              <w:t>SPY Indexed</w:t>
            </w:r>
          </w:p>
        </w:tc>
        <w:tc>
          <w:tcPr>
            <w:tcW w:type="dxa" w:w="1440"/>
            <w:shd w:val="clear" w:color="auto" w:fill="3B4259"/>
          </w:tcPr>
          <w:p>
            <w:r>
              <w:rPr>
                <w:rFonts w:ascii="Calibri" w:hAnsi="Calibri"/>
                <w:b/>
                <w:color w:val="FFFFFF"/>
                <w:sz w:val="22"/>
              </w:rPr>
              <w:t>Event</w:t>
            </w:r>
          </w:p>
        </w:tc>
      </w:tr>
      <w:tr>
        <w:tc>
          <w:tcPr>
            <w:tcW w:type="dxa" w:w="1440"/>
          </w:tcPr>
          <w:p>
            <w:r>
              <w:rPr>
                <w:rFonts w:ascii="Calibri" w:hAnsi="Calibri"/>
                <w:sz w:val="22"/>
              </w:rPr>
              <w:t>Apr 28, 2026</w:t>
            </w:r>
          </w:p>
        </w:tc>
        <w:tc>
          <w:tcPr>
            <w:tcW w:type="dxa" w:w="1440"/>
          </w:tcPr>
          <w:p>
            <w:r>
              <w:rPr>
                <w:rFonts w:ascii="Calibri" w:hAnsi="Calibri"/>
                <w:sz w:val="22"/>
              </w:rPr>
              <w:t>$380.13</w:t>
            </w:r>
          </w:p>
        </w:tc>
        <w:tc>
          <w:tcPr>
            <w:tcW w:type="dxa" w:w="1440"/>
          </w:tcPr>
          <w:p>
            <w:r>
              <w:rPr>
                <w:rFonts w:ascii="Calibri" w:hAnsi="Calibri"/>
                <w:sz w:val="22"/>
              </w:rPr>
              <w:t>100.0</w:t>
            </w:r>
          </w:p>
        </w:tc>
        <w:tc>
          <w:tcPr>
            <w:tcW w:type="dxa" w:w="1440"/>
          </w:tcPr>
          <w:p>
            <w:r>
              <w:rPr>
                <w:rFonts w:ascii="Calibri" w:hAnsi="Calibri"/>
                <w:sz w:val="22"/>
              </w:rPr>
              <w:t>100.0</w:t>
            </w:r>
          </w:p>
        </w:tc>
        <w:tc>
          <w:tcPr>
            <w:tcW w:type="dxa" w:w="1440"/>
          </w:tcPr>
          <w:p>
            <w:r>
              <w:rPr>
                <w:rFonts w:ascii="Calibri" w:hAnsi="Calibri"/>
                <w:sz w:val="22"/>
              </w:rPr>
              <w:t>100.0</w:t>
            </w:r>
          </w:p>
        </w:tc>
        <w:tc>
          <w:tcPr>
            <w:tcW w:type="dxa" w:w="1440"/>
          </w:tcPr>
          <w:p>
            <w:r>
              <w:rPr>
                <w:rFonts w:ascii="Calibri" w:hAnsi="Calibri"/>
                <w:sz w:val="22"/>
              </w:rPr>
              <w:t>Q1 2026 Earnings (base)</w:t>
            </w:r>
          </w:p>
        </w:tc>
      </w:tr>
      <w:tr>
        <w:tc>
          <w:tcPr>
            <w:tcW w:type="dxa" w:w="1440"/>
          </w:tcPr>
          <w:p>
            <w:r>
              <w:rPr>
                <w:rFonts w:ascii="Calibri" w:hAnsi="Calibri"/>
                <w:sz w:val="22"/>
              </w:rPr>
              <w:t>Apr 29, 2026</w:t>
            </w:r>
          </w:p>
        </w:tc>
        <w:tc>
          <w:tcPr>
            <w:tcW w:type="dxa" w:w="1440"/>
          </w:tcPr>
          <w:p>
            <w:r>
              <w:rPr>
                <w:rFonts w:ascii="Calibri" w:hAnsi="Calibri"/>
                <w:sz w:val="22"/>
              </w:rPr>
              <w:t>$306.33</w:t>
            </w:r>
          </w:p>
        </w:tc>
        <w:tc>
          <w:tcPr>
            <w:tcW w:type="dxa" w:w="1440"/>
          </w:tcPr>
          <w:p>
            <w:r>
              <w:rPr>
                <w:rFonts w:ascii="Calibri" w:hAnsi="Calibri"/>
                <w:sz w:val="22"/>
              </w:rPr>
              <w:t>80.6</w:t>
            </w:r>
          </w:p>
        </w:tc>
        <w:tc>
          <w:tcPr>
            <w:tcW w:type="dxa" w:w="1440"/>
          </w:tcPr>
          <w:p>
            <w:r>
              <w:rPr>
                <w:rFonts w:ascii="Calibri" w:hAnsi="Calibri"/>
                <w:sz w:val="22"/>
              </w:rPr>
              <w:t>102.6</w:t>
            </w:r>
          </w:p>
        </w:tc>
        <w:tc>
          <w:tcPr>
            <w:tcW w:type="dxa" w:w="1440"/>
          </w:tcPr>
          <w:p>
            <w:r>
              <w:rPr>
                <w:rFonts w:ascii="Calibri" w:hAnsi="Calibri"/>
                <w:sz w:val="22"/>
              </w:rPr>
              <w:t>100.0</w:t>
            </w:r>
          </w:p>
        </w:tc>
        <w:tc>
          <w:tcPr>
            <w:tcW w:type="dxa" w:w="1440"/>
          </w:tcPr>
          <w:p>
            <w:r>
              <w:rPr>
                <w:rFonts w:ascii="Calibri" w:hAnsi="Calibri"/>
                <w:sz w:val="22"/>
              </w:rPr>
              <w:t>Q1 results released; stock -19.4% on mixed Q2 guidance</w:t>
            </w:r>
          </w:p>
        </w:tc>
      </w:tr>
      <w:tr>
        <w:tc>
          <w:tcPr>
            <w:tcW w:type="dxa" w:w="1440"/>
          </w:tcPr>
          <w:p>
            <w:r>
              <w:rPr>
                <w:rFonts w:ascii="Calibri" w:hAnsi="Calibri"/>
                <w:sz w:val="22"/>
              </w:rPr>
              <w:t>May 6, 2026</w:t>
            </w:r>
          </w:p>
        </w:tc>
        <w:tc>
          <w:tcPr>
            <w:tcW w:type="dxa" w:w="1440"/>
          </w:tcPr>
          <w:p>
            <w:r>
              <w:rPr>
                <w:rFonts w:ascii="Calibri" w:hAnsi="Calibri"/>
                <w:sz w:val="22"/>
              </w:rPr>
              <w:t>$382.48</w:t>
            </w:r>
          </w:p>
        </w:tc>
        <w:tc>
          <w:tcPr>
            <w:tcW w:type="dxa" w:w="1440"/>
          </w:tcPr>
          <w:p>
            <w:r>
              <w:rPr>
                <w:rFonts w:ascii="Calibri" w:hAnsi="Calibri"/>
                <w:sz w:val="22"/>
              </w:rPr>
              <w:t>100.6</w:t>
            </w:r>
          </w:p>
        </w:tc>
        <w:tc>
          <w:tcPr>
            <w:tcW w:type="dxa" w:w="1440"/>
          </w:tcPr>
          <w:p>
            <w:r>
              <w:rPr>
                <w:rFonts w:ascii="Calibri" w:hAnsi="Calibri"/>
                <w:sz w:val="22"/>
              </w:rPr>
              <w:t>115.5</w:t>
            </w:r>
          </w:p>
        </w:tc>
        <w:tc>
          <w:tcPr>
            <w:tcW w:type="dxa" w:w="1440"/>
          </w:tcPr>
          <w:p>
            <w:r>
              <w:rPr>
                <w:rFonts w:ascii="Calibri" w:hAnsi="Calibri"/>
                <w:sz w:val="22"/>
              </w:rPr>
              <w:t>103.1</w:t>
            </w:r>
          </w:p>
        </w:tc>
        <w:tc>
          <w:tcPr>
            <w:tcW w:type="dxa" w:w="1440"/>
          </w:tcPr>
          <w:p>
            <w:r>
              <w:rPr>
                <w:rFonts w:ascii="Calibri" w:hAnsi="Calibri"/>
                <w:sz w:val="22"/>
              </w:rPr>
              <w:t>Recovery; US-China trade truce announced</w:t>
            </w:r>
          </w:p>
        </w:tc>
      </w:tr>
      <w:tr>
        <w:tc>
          <w:tcPr>
            <w:tcW w:type="dxa" w:w="1440"/>
          </w:tcPr>
          <w:p>
            <w:r>
              <w:rPr>
                <w:rFonts w:ascii="Calibri" w:hAnsi="Calibri"/>
                <w:sz w:val="22"/>
              </w:rPr>
              <w:t>Jun 2, 2026</w:t>
            </w:r>
          </w:p>
        </w:tc>
        <w:tc>
          <w:tcPr>
            <w:tcW w:type="dxa" w:w="1440"/>
          </w:tcPr>
          <w:p>
            <w:r>
              <w:rPr>
                <w:rFonts w:ascii="Calibri" w:hAnsi="Calibri"/>
                <w:sz w:val="22"/>
              </w:rPr>
              <w:t>$392.62</w:t>
            </w:r>
          </w:p>
        </w:tc>
        <w:tc>
          <w:tcPr>
            <w:tcW w:type="dxa" w:w="1440"/>
          </w:tcPr>
          <w:p>
            <w:r>
              <w:rPr>
                <w:rFonts w:ascii="Calibri" w:hAnsi="Calibri"/>
                <w:sz w:val="22"/>
              </w:rPr>
              <w:t>103.3</w:t>
            </w:r>
          </w:p>
        </w:tc>
        <w:tc>
          <w:tcPr>
            <w:tcW w:type="dxa" w:w="1440"/>
          </w:tcPr>
          <w:p>
            <w:r>
              <w:rPr>
                <w:rFonts w:ascii="Calibri" w:hAnsi="Calibri"/>
                <w:sz w:val="22"/>
              </w:rPr>
              <w:t>138.0</w:t>
            </w:r>
          </w:p>
        </w:tc>
        <w:tc>
          <w:tcPr>
            <w:tcW w:type="dxa" w:w="1440"/>
          </w:tcPr>
          <w:p>
            <w:r>
              <w:rPr>
                <w:rFonts w:ascii="Calibri" w:hAnsi="Calibri"/>
                <w:sz w:val="22"/>
              </w:rPr>
              <w:t>106.7</w:t>
            </w:r>
          </w:p>
        </w:tc>
        <w:tc>
          <w:tcPr>
            <w:tcW w:type="dxa" w:w="1440"/>
          </w:tcPr>
          <w:p>
            <w:r>
              <w:rPr>
                <w:rFonts w:ascii="Calibri" w:hAnsi="Calibri"/>
                <w:sz w:val="22"/>
              </w:rPr>
              <w:t>BofA Technology Conference</w:t>
            </w:r>
          </w:p>
        </w:tc>
      </w:tr>
      <w:tr>
        <w:tc>
          <w:tcPr>
            <w:tcW w:type="dxa" w:w="1440"/>
          </w:tcPr>
          <w:p>
            <w:r>
              <w:rPr>
                <w:rFonts w:ascii="Calibri" w:hAnsi="Calibri"/>
                <w:sz w:val="22"/>
              </w:rPr>
              <w:t>Jun 15, 2026</w:t>
            </w:r>
          </w:p>
        </w:tc>
        <w:tc>
          <w:tcPr>
            <w:tcW w:type="dxa" w:w="1440"/>
          </w:tcPr>
          <w:p>
            <w:r>
              <w:rPr>
                <w:rFonts w:ascii="Calibri" w:hAnsi="Calibri"/>
                <w:sz w:val="22"/>
              </w:rPr>
              <w:t>$432.41</w:t>
            </w:r>
          </w:p>
        </w:tc>
        <w:tc>
          <w:tcPr>
            <w:tcW w:type="dxa" w:w="1440"/>
          </w:tcPr>
          <w:p>
            <w:r>
              <w:rPr>
                <w:rFonts w:ascii="Calibri" w:hAnsi="Calibri"/>
                <w:sz w:val="22"/>
              </w:rPr>
              <w:t>113.8</w:t>
            </w:r>
          </w:p>
        </w:tc>
        <w:tc>
          <w:tcPr>
            <w:tcW w:type="dxa" w:w="1440"/>
          </w:tcPr>
          <w:p>
            <w:r>
              <w:rPr>
                <w:rFonts w:ascii="Calibri" w:hAnsi="Calibri"/>
                <w:sz w:val="22"/>
              </w:rPr>
              <w:t>143.3</w:t>
            </w:r>
          </w:p>
        </w:tc>
        <w:tc>
          <w:tcPr>
            <w:tcW w:type="dxa" w:w="1440"/>
          </w:tcPr>
          <w:p>
            <w:r>
              <w:rPr>
                <w:rFonts w:ascii="Calibri" w:hAnsi="Calibri"/>
                <w:sz w:val="22"/>
              </w:rPr>
              <w:t>106.1</w:t>
            </w:r>
          </w:p>
        </w:tc>
        <w:tc>
          <w:tcPr>
            <w:tcW w:type="dxa" w:w="1440"/>
          </w:tcPr>
          <w:p>
            <w:r>
              <w:rPr>
                <w:rFonts w:ascii="Calibri" w:hAnsi="Calibri"/>
                <w:sz w:val="22"/>
              </w:rPr>
              <w:t>Sector rally; AI capex headlines</w:t>
            </w:r>
          </w:p>
        </w:tc>
      </w:tr>
      <w:tr>
        <w:tc>
          <w:tcPr>
            <w:tcW w:type="dxa" w:w="1440"/>
          </w:tcPr>
          <w:p>
            <w:r>
              <w:rPr>
                <w:rFonts w:ascii="Calibri" w:hAnsi="Calibri"/>
                <w:sz w:val="22"/>
              </w:rPr>
              <w:t>Jun 30, 2026</w:t>
            </w:r>
          </w:p>
        </w:tc>
        <w:tc>
          <w:tcPr>
            <w:tcW w:type="dxa" w:w="1440"/>
          </w:tcPr>
          <w:p>
            <w:r>
              <w:rPr>
                <w:rFonts w:ascii="Calibri" w:hAnsi="Calibri"/>
                <w:sz w:val="22"/>
              </w:rPr>
              <w:t>$483.84</w:t>
            </w:r>
          </w:p>
        </w:tc>
        <w:tc>
          <w:tcPr>
            <w:tcW w:type="dxa" w:w="1440"/>
          </w:tcPr>
          <w:p>
            <w:r>
              <w:rPr>
                <w:rFonts w:ascii="Calibri" w:hAnsi="Calibri"/>
                <w:sz w:val="22"/>
              </w:rPr>
              <w:t>127.3</w:t>
            </w:r>
          </w:p>
        </w:tc>
        <w:tc>
          <w:tcPr>
            <w:tcW w:type="dxa" w:w="1440"/>
          </w:tcPr>
          <w:p>
            <w:r>
              <w:rPr>
                <w:rFonts w:ascii="Calibri" w:hAnsi="Calibri"/>
                <w:sz w:val="22"/>
              </w:rPr>
              <w:t>146.1</w:t>
            </w:r>
          </w:p>
        </w:tc>
        <w:tc>
          <w:tcPr>
            <w:tcW w:type="dxa" w:w="1440"/>
          </w:tcPr>
          <w:p>
            <w:r>
              <w:rPr>
                <w:rFonts w:ascii="Calibri" w:hAnsi="Calibri"/>
                <w:sz w:val="22"/>
              </w:rPr>
              <w:t>104.9</w:t>
            </w:r>
          </w:p>
        </w:tc>
        <w:tc>
          <w:tcPr>
            <w:tcW w:type="dxa" w:w="1440"/>
          </w:tcPr>
          <w:p>
            <w:r>
              <w:rPr>
                <w:rFonts w:ascii="Calibri" w:hAnsi="Calibri"/>
                <w:sz w:val="22"/>
              </w:rPr>
              <w:t>TER peak; Q2 end</w:t>
            </w:r>
          </w:p>
        </w:tc>
      </w:tr>
      <w:tr>
        <w:tc>
          <w:tcPr>
            <w:tcW w:type="dxa" w:w="1440"/>
          </w:tcPr>
          <w:p>
            <w:r>
              <w:rPr>
                <w:rFonts w:ascii="Calibri" w:hAnsi="Calibri"/>
                <w:sz w:val="22"/>
              </w:rPr>
              <w:t>Jul 7, 2026</w:t>
            </w:r>
          </w:p>
        </w:tc>
        <w:tc>
          <w:tcPr>
            <w:tcW w:type="dxa" w:w="1440"/>
          </w:tcPr>
          <w:p>
            <w:r>
              <w:rPr>
                <w:rFonts w:ascii="Calibri" w:hAnsi="Calibri"/>
                <w:sz w:val="22"/>
              </w:rPr>
              <w:t>$343.11</w:t>
            </w:r>
          </w:p>
        </w:tc>
        <w:tc>
          <w:tcPr>
            <w:tcW w:type="dxa" w:w="1440"/>
          </w:tcPr>
          <w:p>
            <w:r>
              <w:rPr>
                <w:rFonts w:ascii="Calibri" w:hAnsi="Calibri"/>
                <w:sz w:val="22"/>
              </w:rPr>
              <w:t>90.3</w:t>
            </w:r>
          </w:p>
        </w:tc>
        <w:tc>
          <w:tcPr>
            <w:tcW w:type="dxa" w:w="1440"/>
          </w:tcPr>
          <w:p>
            <w:r>
              <w:rPr>
                <w:rFonts w:ascii="Calibri" w:hAnsi="Calibri"/>
                <w:sz w:val="22"/>
              </w:rPr>
              <w:t>125.8</w:t>
            </w:r>
          </w:p>
        </w:tc>
        <w:tc>
          <w:tcPr>
            <w:tcW w:type="dxa" w:w="1440"/>
          </w:tcPr>
          <w:p>
            <w:r>
              <w:rPr>
                <w:rFonts w:ascii="Calibri" w:hAnsi="Calibri"/>
                <w:sz w:val="22"/>
              </w:rPr>
              <w:t>105.1</w:t>
            </w:r>
          </w:p>
        </w:tc>
        <w:tc>
          <w:tcPr>
            <w:tcW w:type="dxa" w:w="1440"/>
          </w:tcPr>
          <w:p>
            <w:r>
              <w:rPr>
                <w:rFonts w:ascii="Calibri" w:hAnsi="Calibri"/>
                <w:sz w:val="22"/>
              </w:rPr>
              <w:t>Sharp sector rotation; TER -29% from peak in 5 days</w:t>
            </w:r>
          </w:p>
        </w:tc>
      </w:tr>
      <w:tr>
        <w:tc>
          <w:tcPr>
            <w:tcW w:type="dxa" w:w="1440"/>
          </w:tcPr>
          <w:p>
            <w:r>
              <w:rPr>
                <w:rFonts w:ascii="Calibri" w:hAnsi="Calibri"/>
                <w:sz w:val="22"/>
              </w:rPr>
              <w:t>Jul 28, 2026</w:t>
            </w:r>
          </w:p>
        </w:tc>
        <w:tc>
          <w:tcPr>
            <w:tcW w:type="dxa" w:w="1440"/>
          </w:tcPr>
          <w:p>
            <w:r>
              <w:rPr>
                <w:rFonts w:ascii="Calibri" w:hAnsi="Calibri"/>
                <w:sz w:val="22"/>
              </w:rPr>
              <w:t>$334.77</w:t>
            </w:r>
          </w:p>
        </w:tc>
        <w:tc>
          <w:tcPr>
            <w:tcW w:type="dxa" w:w="1440"/>
          </w:tcPr>
          <w:p>
            <w:r>
              <w:rPr>
                <w:rFonts w:ascii="Calibri" w:hAnsi="Calibri"/>
                <w:sz w:val="22"/>
              </w:rPr>
              <w:t>88.1</w:t>
            </w:r>
          </w:p>
        </w:tc>
        <w:tc>
          <w:tcPr>
            <w:tcW w:type="dxa" w:w="1440"/>
          </w:tcPr>
          <w:p>
            <w:r>
              <w:rPr>
                <w:rFonts w:ascii="Calibri" w:hAnsi="Calibri"/>
                <w:sz w:val="22"/>
              </w:rPr>
              <w:t>117.7</w:t>
            </w:r>
          </w:p>
        </w:tc>
        <w:tc>
          <w:tcPr>
            <w:tcW w:type="dxa" w:w="1440"/>
          </w:tcPr>
          <w:p>
            <w:r>
              <w:rPr>
                <w:rFonts w:ascii="Calibri" w:hAnsi="Calibri"/>
                <w:sz w:val="22"/>
              </w:rPr>
              <w:t>103.9</w:t>
            </w:r>
          </w:p>
        </w:tc>
        <w:tc>
          <w:tcPr>
            <w:tcW w:type="dxa" w:w="1440"/>
          </w:tcPr>
          <w:p>
            <w:r>
              <w:rPr>
                <w:rFonts w:ascii="Calibri" w:hAnsi="Calibri"/>
                <w:sz w:val="22"/>
              </w:rPr>
              <w:t>Q2 2026 Earnings Day (today)</w:t>
            </w:r>
          </w:p>
        </w:tc>
      </w:tr>
    </w:tbl>
    <w:p>
      <w:r>
        <w:rPr>
          <w:rFonts w:ascii="Calibri" w:hAnsi="Calibri"/>
          <w:color w:val="525866"/>
          <w:sz w:val="22"/>
        </w:rPr>
        <w:t>Source: Stock Price Data (Yahoo Finance). Sector ETF: SOXX (iShares Semiconductor ETF), selected as the most appropriate sub-sector benchmark for ATE/semiconductor capital equipment.</w:t>
      </w:r>
    </w:p>
    <w:p>
      <w:r>
        <w:rPr>
          <w:rFonts w:ascii="Calibri" w:hAnsi="Calibri"/>
          <w:b/>
          <w:color w:val="525866"/>
          <w:sz w:val="22"/>
        </w:rPr>
        <w:t xml:space="preserve">Performance Summary (Apr 28 → Jul 28, 2026): </w:t>
      </w:r>
      <w:r>
        <w:rPr>
          <w:rFonts w:ascii="Calibri" w:hAnsi="Calibri"/>
          <w:color w:val="525866"/>
          <w:sz w:val="22"/>
        </w:rPr>
        <w:t>TER: -11.9% | SOXX: +17.7% | SPY: +3.9%. TER has dramatically underperformed both the semiconductor sector and the broader market since Q1 earnings, despite stable estimates. The stock's peak-to-trough move of -31% (Jun 30 → Jul 7) was driven by sector rotation and multiple compression, not fundamental revision. NTM EV/EBITDA compressed from ~37.8x (1 month ago) to ~29.2x currently, and NTM P/E from ~50x to ~39x over three months. The stock is now pricing in meaningful execution risk and/or H2 demand disappointment, creating an asymmetric setup if Q2 results and Q3 guidance are in-line or better.</w:t>
      </w:r>
    </w:p>
    <w:p>
      <w:r>
        <w:br w:type="page"/>
      </w:r>
    </w:p>
    <w:p>
      <w:pPr>
        <w:pStyle w:val="Heading2"/>
      </w:pPr>
      <w:r>
        <w:rPr>
          <w:rFonts w:ascii="Calibri" w:hAnsi="Calibri"/>
          <w:b/>
          <w:color w:val="3B4259"/>
          <w:sz w:val="28"/>
        </w:rPr>
        <w:t>6. Peer Commentaries &amp; Current-Quarter Read-Through</w:t>
      </w:r>
    </w:p>
    <w:p>
      <w:r>
        <w:rPr>
          <w:rFonts w:ascii="Calibri" w:hAnsi="Calibri"/>
          <w:b/>
          <w:color w:val="525866"/>
          <w:sz w:val="22"/>
        </w:rPr>
        <w:t xml:space="preserve">Key Takeaway: </w:t>
      </w:r>
      <w:r>
        <w:rPr>
          <w:rFonts w:ascii="Calibri" w:hAnsi="Calibri"/>
          <w:b/>
          <w:color w:val="525866"/>
          <w:sz w:val="22"/>
        </w:rPr>
        <w:t>Peer commentary from the last 60 days is broadly positive for TER's Q2 2026 print and forward outlook — AMKR's record Q2 computing revenue and accelerating Q3 compute ramp, TXN's above-seasonal Q3 guidance and strong industrial/auto demand, and AEHR's record backlog and AI processor burn-in acceleration all point to robust ATE demand; the only consistent negative read-through is ongoing mobile/communications softness, which is a known and manageable headwind for TER.</w:t>
      </w:r>
    </w:p>
    <w:p>
      <w:r>
        <w:rPr>
          <w:rFonts w:ascii="Calibri" w:hAnsi="Calibri"/>
          <w:b/>
          <w:color w:val="525866"/>
          <w:sz w:val="22"/>
        </w:rPr>
        <w:t xml:space="preserve">Inclusion Logic: </w:t>
      </w:r>
      <w:r>
        <w:rPr>
          <w:rFonts w:ascii="Calibri" w:hAnsi="Calibri"/>
          <w:color w:val="525866"/>
          <w:sz w:val="22"/>
        </w:rPr>
        <w:t>Only commentary from the last 60 days (on or after May 28, 2026) that addresses current-quarter (Q2 2026 calendar) conditions, forward demand, or the outlook for TER's end markets is included. Peer earnings calls discussing prior-quarter results are included only where management explicitly commented on current-quarter trends or forward guidance. AMKR Q2 2026 earnings (July 27, 2026) and AEHR Q4 FY2026 earnings (July 14, 2026) are included because they reported Q2 2026 calendar results and provided Q3 2026 forward guidance. TXN Q2 2026 earnings (July 22, 2026) is included for the same reason. The BofA Technology Conference (June 2, 2026) is TER's own management commentary and is covered in Section 3. No prior-quarter-only commentary is included.</w:t>
      </w:r>
    </w:p>
    <w:p>
      <w:pPr>
        <w:pStyle w:val="Heading3"/>
      </w:pPr>
      <w:r>
        <w:rPr>
          <w:rFonts w:ascii="Calibri" w:hAnsi="Calibri"/>
          <w:b/>
          <w:color w:val="3B4259"/>
          <w:sz w:val="24"/>
        </w:rPr>
        <w:t>Amkor Technology (AMKR) — Q2 2026 Earnings Call (July 27, 2026)</w:t>
      </w:r>
    </w:p>
    <w:p>
      <w:r>
        <w:rPr>
          <w:rFonts w:ascii="Calibri" w:hAnsi="Calibri"/>
          <w:b/>
          <w:color w:val="525866"/>
          <w:sz w:val="22"/>
        </w:rPr>
        <w:t xml:space="preserve">Read-Through: </w:t>
      </w:r>
      <w:r>
        <w:rPr>
          <w:rFonts w:ascii="Calibri" w:hAnsi="Calibri"/>
          <w:b/>
          <w:color w:val="30A46C"/>
          <w:sz w:val="22"/>
        </w:rPr>
        <w:t>Strongly Positive</w:t>
      </w:r>
    </w:p>
    <w:p>
      <w:pPr>
        <w:pStyle w:val="ListBullet"/>
        <w:ind w:left="360" w:hanging="360"/>
      </w:pPr>
      <w:r>
        <w:rPr>
          <w:rFonts w:ascii="Calibri" w:hAnsi="Calibri"/>
          <w:b/>
          <w:color w:val="525866"/>
          <w:sz w:val="22"/>
        </w:rPr>
        <w:t xml:space="preserve">AI compute demand accelerating into Q3: </w:t>
      </w:r>
      <w:r>
        <w:rPr>
          <w:rFonts w:ascii="Calibri" w:hAnsi="Calibri"/>
          <w:color w:val="525866"/>
          <w:sz w:val="22"/>
        </w:rPr>
        <w:t>AMKR reported a new quarterly revenue record in computing in Q2 2026, with Q3 computing revenue expected to "accelerate to nearly 30% sequentially, driven by AI data center demand and the DFO CPU ramp." This directly validates TER's Q2 SoC/compute revenue thesis and supports the H2 memory/compute demand narrative.</w:t>
      </w:r>
    </w:p>
    <w:p>
      <w:pPr>
        <w:pStyle w:val="ListBullet"/>
        <w:ind w:left="360" w:hanging="360"/>
      </w:pPr>
      <w:r>
        <w:rPr>
          <w:rFonts w:ascii="Calibri" w:hAnsi="Calibri"/>
          <w:b/>
          <w:color w:val="525866"/>
          <w:sz w:val="22"/>
        </w:rPr>
        <w:t xml:space="preserve">Advanced packaging complexity driving test intensity: </w:t>
      </w:r>
      <w:r>
        <w:rPr>
          <w:rFonts w:ascii="Calibri" w:hAnsi="Calibri"/>
          <w:color w:val="525866"/>
          <w:sz w:val="22"/>
        </w:rPr>
        <w:t>AMKR highlighted that "semiconductor demand remains robust, particularly in AI data center applications, where packaging complexity and performance requirements continue to increase." Active programs span "2.5D high density, fan out and emerging technologies such as co-packaged optics" — all areas where TER has significant test exposure (CPO, HBM, VIP compute).</w:t>
      </w:r>
    </w:p>
    <w:p>
      <w:pPr>
        <w:pStyle w:val="ListBullet"/>
        <w:ind w:left="360" w:hanging="360"/>
      </w:pPr>
      <w:r>
        <w:rPr>
          <w:rFonts w:ascii="Calibri" w:hAnsi="Calibri"/>
          <w:b/>
          <w:color w:val="525866"/>
          <w:sz w:val="22"/>
        </w:rPr>
        <w:t xml:space="preserve">Multi-year NVIDIA partnership for advanced packaging and test: </w:t>
      </w:r>
      <w:r>
        <w:rPr>
          <w:rFonts w:ascii="Calibri" w:hAnsi="Calibri"/>
          <w:color w:val="525866"/>
          <w:sz w:val="22"/>
        </w:rPr>
        <w:t>AMKR announced a "multi-year strategic partnership with Nvidia" focused on "advanced packaging and test supporting next generation AI infrastructure." This reinforces the durability of AI-driven test demand and the strategic importance of test in the AI supply chain.</w:t>
      </w:r>
    </w:p>
    <w:p>
      <w:pPr>
        <w:pStyle w:val="ListBullet"/>
        <w:ind w:left="360" w:hanging="360"/>
      </w:pPr>
      <w:r>
        <w:rPr>
          <w:rFonts w:ascii="Calibri" w:hAnsi="Calibri"/>
          <w:b/>
          <w:color w:val="525866"/>
          <w:sz w:val="22"/>
        </w:rPr>
        <w:t xml:space="preserve">TSMC 10-year advanced packaging agreement: </w:t>
      </w:r>
      <w:r>
        <w:rPr>
          <w:rFonts w:ascii="Calibri" w:hAnsi="Calibri"/>
          <w:color w:val="525866"/>
          <w:sz w:val="22"/>
        </w:rPr>
        <w:t>AMKR announced a "ten year advanced packaging agreement with TSMC" to expand advanced packaging and test capacity. Long-duration commitments of this nature imply sustained, multi-year demand for ATE.</w:t>
      </w:r>
    </w:p>
    <w:p>
      <w:pPr>
        <w:pStyle w:val="ListBullet"/>
        <w:ind w:left="360" w:hanging="360"/>
      </w:pPr>
      <w:r>
        <w:rPr>
          <w:rFonts w:ascii="Calibri" w:hAnsi="Calibri"/>
          <w:b/>
          <w:color w:val="525866"/>
          <w:sz w:val="22"/>
        </w:rPr>
        <w:t xml:space="preserve">Memory supply constraints a near-term headwind: </w:t>
      </w:r>
      <w:r>
        <w:rPr>
          <w:rFonts w:ascii="Calibri" w:hAnsi="Calibri"/>
          <w:color w:val="525866"/>
          <w:sz w:val="22"/>
        </w:rPr>
        <w:t>Android/communications revenue declined 20% in Q2 and is expected to "decline in the high single digits sequentially" in Q3, with memory supply constraints expected to "extend into Q4 and even into the first half of next year." This is a mild negative read-through for TER's mobile SoC segment, though mobile is already a small and declining share of TER's revenue mix.</w:t>
      </w:r>
    </w:p>
    <w:p>
      <w:pPr>
        <w:pStyle w:val="ListBullet"/>
        <w:ind w:left="360" w:hanging="360"/>
      </w:pPr>
      <w:r>
        <w:rPr>
          <w:rFonts w:ascii="Calibri" w:hAnsi="Calibri"/>
          <w:b/>
          <w:color w:val="525866"/>
          <w:sz w:val="22"/>
        </w:rPr>
        <w:t xml:space="preserve">Demand visibility "meaningfully different from previous industry cycles": </w:t>
      </w:r>
      <w:r>
        <w:rPr>
          <w:rFonts w:ascii="Calibri" w:hAnsi="Calibri"/>
          <w:color w:val="525866"/>
          <w:sz w:val="22"/>
        </w:rPr>
        <w:t>AMKR noted that "the level of long-term collaboration and visibility we are experiencing today is meaningfully different from previous industry cycles," with customers providing "longer planning horizons, capacity alignment discussions and other forms of investments." This supports TER's own commentary about multi-quarter visibility for H1 2026.</w:t>
      </w:r>
    </w:p>
    <w:p>
      <w:pPr>
        <w:pStyle w:val="Heading3"/>
      </w:pPr>
      <w:r>
        <w:rPr>
          <w:rFonts w:ascii="Calibri" w:hAnsi="Calibri"/>
          <w:b/>
          <w:color w:val="3B4259"/>
          <w:sz w:val="24"/>
        </w:rPr>
        <w:t>Texas Instruments (TXN) — Q2 2026 Earnings Call (July 22, 2026)</w:t>
      </w:r>
    </w:p>
    <w:p>
      <w:r>
        <w:rPr>
          <w:rFonts w:ascii="Calibri" w:hAnsi="Calibri"/>
          <w:b/>
          <w:color w:val="525866"/>
          <w:sz w:val="22"/>
        </w:rPr>
        <w:t xml:space="preserve">Read-Through: </w:t>
      </w:r>
      <w:r>
        <w:rPr>
          <w:rFonts w:ascii="Calibri" w:hAnsi="Calibri"/>
          <w:b/>
          <w:color w:val="30A46C"/>
          <w:sz w:val="22"/>
        </w:rPr>
        <w:t>Positive</w:t>
      </w:r>
    </w:p>
    <w:p>
      <w:pPr>
        <w:pStyle w:val="ListBullet"/>
        <w:ind w:left="360" w:hanging="360"/>
      </w:pPr>
      <w:r>
        <w:rPr>
          <w:rFonts w:ascii="Calibri" w:hAnsi="Calibri"/>
          <w:b/>
          <w:color w:val="525866"/>
          <w:sz w:val="22"/>
        </w:rPr>
        <w:t xml:space="preserve">Above-seasonal Q3 guidance signals broad semiconductor demand strength: </w:t>
      </w:r>
      <w:r>
        <w:rPr>
          <w:rFonts w:ascii="Calibri" w:hAnsi="Calibri"/>
          <w:color w:val="525866"/>
          <w:sz w:val="22"/>
        </w:rPr>
        <w:t>TXN guided Q3 2026 revenue of $5.65B–$6.15B, described as "above seasonal," with CEO Aviv Lonn noting "a setup of stronger demand, and it's broader." A broad-based demand recovery across industrial, automotive, and data center is a positive macro read-through for ATE demand.</w:t>
      </w:r>
    </w:p>
    <w:p>
      <w:pPr>
        <w:pStyle w:val="ListBullet"/>
        <w:ind w:left="360" w:hanging="360"/>
      </w:pPr>
      <w:r>
        <w:rPr>
          <w:rFonts w:ascii="Calibri" w:hAnsi="Calibri"/>
          <w:b/>
          <w:color w:val="525866"/>
          <w:sz w:val="22"/>
        </w:rPr>
        <w:t xml:space="preserve">Data center demand "strong" with no change expected "in the foreseeable future": </w:t>
      </w:r>
      <w:r>
        <w:rPr>
          <w:rFonts w:ascii="Calibri" w:hAnsi="Calibri"/>
          <w:color w:val="525866"/>
          <w:sz w:val="22"/>
        </w:rPr>
        <w:t>TXN continues to see "strong demand in the data center market" and does "not expect that to change in the foreseeable future." New 800V architectures are expected to drive "higher growth of the TAM, more conversion stages" — a tailwind for power semiconductor test intensity.</w:t>
      </w:r>
    </w:p>
    <w:p>
      <w:pPr>
        <w:pStyle w:val="ListBullet"/>
        <w:ind w:left="360" w:hanging="360"/>
      </w:pPr>
      <w:r>
        <w:rPr>
          <w:rFonts w:ascii="Calibri" w:hAnsi="Calibri"/>
          <w:b/>
          <w:color w:val="525866"/>
          <w:sz w:val="22"/>
        </w:rPr>
        <w:t xml:space="preserve">Industrial up ~30% YoY, automotive up mid-teens YoY — both accelerating: </w:t>
      </w:r>
      <w:r>
        <w:rPr>
          <w:rFonts w:ascii="Calibri" w:hAnsi="Calibri"/>
          <w:color w:val="525866"/>
          <w:sz w:val="22"/>
        </w:rPr>
        <w:t>TXN's industrial segment grew ~30% YoY and ~10% sequentially in Q2, with automotive up mid-teens YoY and upper single digits sequentially. CEO noted "customers are early and have not yet built inventory," suggesting the recovery has further to run. This is a positive read-through for TER's auto/industrial test segment, which management described as at the "dawn of a cyclical recovery."</w:t>
      </w:r>
    </w:p>
    <w:p>
      <w:pPr>
        <w:pStyle w:val="ListBullet"/>
        <w:ind w:left="360" w:hanging="360"/>
      </w:pPr>
      <w:r>
        <w:rPr>
          <w:rFonts w:ascii="Calibri" w:hAnsi="Calibri"/>
          <w:b/>
          <w:color w:val="525866"/>
          <w:sz w:val="22"/>
        </w:rPr>
        <w:t xml:space="preserve">Capacity equipping and ramp signals ongoing capex cycle: </w:t>
      </w:r>
      <w:r>
        <w:rPr>
          <w:rFonts w:ascii="Calibri" w:hAnsi="Calibri"/>
          <w:color w:val="525866"/>
          <w:sz w:val="22"/>
        </w:rPr>
        <w:t>TXN stated it is "prepared with capacity and have clean room space available" and plans to "modulate the equipment" across multiple facilities. The commitment to equipping clean rooms implies ongoing capital expenditure in semiconductor manufacturing, which includes test equipment investment.</w:t>
      </w:r>
    </w:p>
    <w:p>
      <w:pPr>
        <w:pStyle w:val="ListBullet"/>
        <w:ind w:left="360" w:hanging="360"/>
      </w:pPr>
      <w:r>
        <w:rPr>
          <w:rFonts w:ascii="Calibri" w:hAnsi="Calibri"/>
          <w:b/>
          <w:color w:val="525866"/>
          <w:sz w:val="22"/>
        </w:rPr>
        <w:t xml:space="preserve">Lead times ticking up modestly — demand growing faster than supply: </w:t>
      </w:r>
      <w:r>
        <w:rPr>
          <w:rFonts w:ascii="Calibri" w:hAnsi="Calibri"/>
          <w:color w:val="525866"/>
          <w:sz w:val="22"/>
        </w:rPr>
        <w:t>TXN noted lead times are seeing "a little bit of an uptick... maybe a couple of weeks higher simply because the demand is growing." Tightening lead times across the industry suggest capacity utilization is rising, which historically precedes increased ATE investment.</w:t>
      </w:r>
    </w:p>
    <w:p>
      <w:pPr>
        <w:pStyle w:val="ListBullet"/>
        <w:ind w:left="360" w:hanging="360"/>
      </w:pPr>
      <w:r>
        <w:rPr>
          <w:rFonts w:ascii="Calibri" w:hAnsi="Calibri"/>
          <w:b/>
          <w:color w:val="525866"/>
          <w:sz w:val="22"/>
        </w:rPr>
        <w:t xml:space="preserve">Personal electronics (mobile) facing memory shortage headwinds: </w:t>
      </w:r>
      <w:r>
        <w:rPr>
          <w:rFonts w:ascii="Calibri" w:hAnsi="Calibri"/>
          <w:color w:val="525866"/>
          <w:sz w:val="22"/>
        </w:rPr>
        <w:t>TXN flagged "challenges in PE" with "some shortages putting pressure on customers," and PE is expected to grow sequentially in Q3 but "maybe at a lower level" than typical. Consistent with TER's own commentary that mobile is "a bit weaker."</w:t>
      </w:r>
    </w:p>
    <w:p>
      <w:pPr>
        <w:pStyle w:val="Heading3"/>
      </w:pPr>
      <w:r>
        <w:rPr>
          <w:rFonts w:ascii="Calibri" w:hAnsi="Calibri"/>
          <w:b/>
          <w:color w:val="3B4259"/>
          <w:sz w:val="24"/>
        </w:rPr>
        <w:t>Aehr Test Systems (AEHR) — Q4 FY2026 Earnings Call (July 14, 2026)</w:t>
      </w:r>
    </w:p>
    <w:p>
      <w:r>
        <w:rPr>
          <w:rFonts w:ascii="Calibri" w:hAnsi="Calibri"/>
          <w:b/>
          <w:color w:val="525866"/>
          <w:sz w:val="22"/>
        </w:rPr>
        <w:t xml:space="preserve">Read-Through: </w:t>
      </w:r>
      <w:r>
        <w:rPr>
          <w:rFonts w:ascii="Calibri" w:hAnsi="Calibri"/>
          <w:b/>
          <w:color w:val="30A46C"/>
          <w:sz w:val="22"/>
        </w:rPr>
        <w:t>Positive</w:t>
      </w:r>
    </w:p>
    <w:p>
      <w:pPr>
        <w:pStyle w:val="ListBullet"/>
        <w:ind w:left="360" w:hanging="360"/>
      </w:pPr>
      <w:r>
        <w:rPr>
          <w:rFonts w:ascii="Calibri" w:hAnsi="Calibri"/>
          <w:b/>
          <w:color w:val="525866"/>
          <w:sz w:val="22"/>
        </w:rPr>
        <w:t xml:space="preserve">Burn-in described as "by far the fastest growing segment in all of semiconductor test right now": </w:t>
      </w:r>
      <w:r>
        <w:rPr>
          <w:rFonts w:ascii="Calibri" w:hAnsi="Calibri"/>
          <w:color w:val="525866"/>
          <w:sz w:val="22"/>
        </w:rPr>
        <w:t>AEHR CEO stated that "burn in is by far the fastest growing segment in all of semiconductor test right now, and wafer level burn in in particular." AI processors and silicon photonics burn-in accounted for "more than 80% of Q4 revenue." This validates the structural shift toward higher test intensity for AI devices that underpins TER's growth thesis.</w:t>
      </w:r>
    </w:p>
    <w:p>
      <w:pPr>
        <w:pStyle w:val="ListBullet"/>
        <w:ind w:left="360" w:hanging="360"/>
      </w:pPr>
      <w:r>
        <w:rPr>
          <w:rFonts w:ascii="Calibri" w:hAnsi="Calibri"/>
          <w:b/>
          <w:color w:val="525866"/>
          <w:sz w:val="22"/>
        </w:rPr>
        <w:t xml:space="preserve">Record backlog of $80.6M (up from $15.2M a year ago); FY2027 guidance of $130M–$150M (2.6x–3x growth): </w:t>
      </w:r>
      <w:r>
        <w:rPr>
          <w:rFonts w:ascii="Calibri" w:hAnsi="Calibri"/>
          <w:color w:val="525866"/>
          <w:sz w:val="22"/>
        </w:rPr>
        <w:t>AEHR's record backlog and aggressive growth guidance reflect strong and visible demand for semiconductor test equipment across AI processors, silicon photonics, and power semiconductors — all end markets where TER also competes.</w:t>
      </w:r>
    </w:p>
    <w:p>
      <w:pPr>
        <w:pStyle w:val="ListBullet"/>
        <w:ind w:left="360" w:hanging="360"/>
      </w:pPr>
      <w:r>
        <w:rPr>
          <w:rFonts w:ascii="Calibri" w:hAnsi="Calibri"/>
          <w:b/>
          <w:color w:val="525866"/>
          <w:sz w:val="22"/>
        </w:rPr>
        <w:t xml:space="preserve">Silicon photonics burn-in "seeing strong momentum" as AI data centers rely on optical I/O: </w:t>
      </w:r>
      <w:r>
        <w:rPr>
          <w:rFonts w:ascii="Calibri" w:hAnsi="Calibri"/>
          <w:color w:val="525866"/>
          <w:sz w:val="22"/>
        </w:rPr>
        <w:t>AEHR's lead silicon photonics customer is "ramping with follow-on orders" and a new major customer (described as a "global leader in networking products") has provided a forecast for additional systems. This directly validates TER's CPO/silicon photonics TAM narrative and the ~$100M of CPO test equipment expected to be purchased in 2026.</w:t>
      </w:r>
    </w:p>
    <w:p>
      <w:pPr>
        <w:pStyle w:val="ListBullet"/>
        <w:ind w:left="360" w:hanging="360"/>
      </w:pPr>
      <w:r>
        <w:rPr>
          <w:rFonts w:ascii="Calibri" w:hAnsi="Calibri"/>
          <w:b/>
          <w:color w:val="525866"/>
          <w:sz w:val="22"/>
        </w:rPr>
        <w:t xml:space="preserve">HBM testability evolving in ways that could benefit logic-platform ATE providers: </w:t>
      </w:r>
      <w:r>
        <w:rPr>
          <w:rFonts w:ascii="Calibri" w:hAnsi="Calibri"/>
          <w:color w:val="525866"/>
          <w:sz w:val="22"/>
        </w:rPr>
        <w:t>AEHR noted that new HBM standards have "embedded BIST capabilities" that "change testability dramatically" and could be "in our favor." The CEO flagged that HBM's new logic interface is "breaking the memory testers" — a potential structural shift that could benefit TER's logic-based test platforms in the memory segment.</w:t>
      </w:r>
    </w:p>
    <w:p>
      <w:pPr>
        <w:pStyle w:val="ListBullet"/>
        <w:ind w:left="360" w:hanging="360"/>
      </w:pPr>
      <w:r>
        <w:rPr>
          <w:rFonts w:ascii="Calibri" w:hAnsi="Calibri"/>
          <w:b/>
          <w:color w:val="525866"/>
          <w:sz w:val="22"/>
        </w:rPr>
        <w:t xml:space="preserve">Silicon carbide recovery and GaN ramp — positive for TER's auto/industrial test: </w:t>
      </w:r>
      <w:r>
        <w:rPr>
          <w:rFonts w:ascii="Calibri" w:hAnsi="Calibri"/>
          <w:color w:val="525866"/>
          <w:sz w:val="22"/>
        </w:rPr>
        <w:t>AEHR received ~$8M in new silicon carbide orders in the last month, including from "one of the largest automotive companies in the world." GaN wafer packs are moving toward volume production. This supports TER's commentary that auto/industrial is at the "dawn of a cyclical recovery."</w:t>
      </w:r>
    </w:p>
    <w:p>
      <w:pPr>
        <w:pStyle w:val="ListBullet"/>
        <w:ind w:left="360" w:hanging="360"/>
      </w:pPr>
      <w:r>
        <w:rPr>
          <w:rFonts w:ascii="Calibri" w:hAnsi="Calibri"/>
          <w:b/>
          <w:color w:val="525866"/>
          <w:sz w:val="22"/>
        </w:rPr>
        <w:t xml:space="preserve">Hyperscalers showing "increasing expectation of test and reliability": </w:t>
      </w:r>
      <w:r>
        <w:rPr>
          <w:rFonts w:ascii="Calibri" w:hAnsi="Calibri"/>
          <w:color w:val="525866"/>
          <w:sz w:val="22"/>
        </w:rPr>
        <w:t>AEHR noted a "general tone amongst hyperscalers... of an increasing expectation of test and reliability to screen out defects." This structural trend toward higher test intensity per device is a multi-year tailwind for the entire ATE industry, including TER.</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b/>
          <w:color w:val="525866"/>
          <w:sz w:val="22"/>
        </w:rPr>
        <w:t>The most important post-Q1 development is the confirmation that merchant GPU first multi-system production orders shipped and entered production in Q2 — a milestone that validates TER's fast-follower strategy and sets up a multi-year GPU share ramp; the two April acquisitions (MultiLane, TestInsight) add strategic optionality in high-speed I/O and test software.</w:t>
      </w:r>
    </w:p>
    <w:p>
      <w:pPr>
        <w:pStyle w:val="ListBullet"/>
        <w:ind w:left="360" w:hanging="360"/>
      </w:pPr>
      <w:r>
        <w:rPr>
          <w:rFonts w:ascii="Calibri" w:hAnsi="Calibri"/>
          <w:b/>
          <w:color w:val="525866"/>
          <w:sz w:val="22"/>
        </w:rPr>
        <w:t xml:space="preserve">Apr 8, 2026 — MultiLane Test Products JV closed: </w:t>
      </w:r>
      <w:r>
        <w:rPr>
          <w:rFonts w:ascii="Calibri" w:hAnsi="Calibri"/>
          <w:color w:val="525866"/>
          <w:sz w:val="22"/>
        </w:rPr>
        <w:t>Teradyne closed its previously announced MultiLane Test Products joint venture, expected to accelerate development of high-speed I/O and data center interconnect test solutions. Implication: Strengthens TER's positioning in backplane/midplane test as AI data centers transition from cable-based to higher-speed interconnect architectures; directly relevant to Q2 and beyond.</w:t>
      </w:r>
    </w:p>
    <w:p>
      <w:pPr>
        <w:pStyle w:val="ListBullet"/>
        <w:ind w:left="360" w:hanging="360"/>
      </w:pPr>
      <w:r>
        <w:rPr>
          <w:rFonts w:ascii="Calibri" w:hAnsi="Calibri"/>
          <w:b/>
          <w:color w:val="525866"/>
          <w:sz w:val="22"/>
        </w:rPr>
        <w:t xml:space="preserve">Apr 16, 2026 — TestInsight acquisition closed: </w:t>
      </w:r>
      <w:r>
        <w:rPr>
          <w:rFonts w:ascii="Calibri" w:hAnsi="Calibri"/>
          <w:color w:val="525866"/>
          <w:sz w:val="22"/>
        </w:rPr>
        <w:t>Teradyne closed the acquisition of TestInsight, described as "the leading provider of test development tools" used with TER's testers and competing platforms. Combined with MultiLane, the two deals consumed ~$165M of cash funded via the credit revolver. Implication: Strengthens designed-to-test software capabilities and creates potential switching cost advantages; modest near-term revenue impact but strategically important for the wafer-to-data-center thesis.</w:t>
      </w:r>
    </w:p>
    <w:p>
      <w:pPr>
        <w:pStyle w:val="ListBullet"/>
        <w:ind w:left="360" w:hanging="360"/>
      </w:pPr>
      <w:r>
        <w:rPr>
          <w:rFonts w:ascii="Calibri" w:hAnsi="Calibri"/>
          <w:b/>
          <w:color w:val="525866"/>
          <w:sz w:val="22"/>
        </w:rPr>
        <w:t xml:space="preserve">Q2 2026 — Merchant GPU first multi-system production orders shipped and entered production: </w:t>
      </w:r>
      <w:r>
        <w:rPr>
          <w:rFonts w:ascii="Calibri" w:hAnsi="Calibri"/>
          <w:color w:val="525866"/>
          <w:sz w:val="22"/>
        </w:rPr>
        <w:t>Per Q1 earnings call guidance, TER expected merchant GPU systems to "ship, be installed, and be in production in Q2." This milestone, if confirmed on the Q2 call, would validate the fast-follower strategy and provide the first concrete data point on GPU revenue contribution. Implication: ~$50M FY2026 GPU revenue target becomes more credible; fast-follower phase ramp toward 30% share ceiling begins.</w:t>
      </w:r>
    </w:p>
    <w:p>
      <w:pPr>
        <w:pStyle w:val="ListBullet"/>
        <w:ind w:left="360" w:hanging="360"/>
      </w:pPr>
      <w:r>
        <w:rPr>
          <w:rFonts w:ascii="Calibri" w:hAnsi="Calibri"/>
          <w:b/>
          <w:color w:val="525866"/>
          <w:sz w:val="22"/>
        </w:rPr>
        <w:t xml:space="preserve">May 11, 2026 — Annual shareholder meeting: </w:t>
      </w:r>
      <w:r>
        <w:rPr>
          <w:rFonts w:ascii="Calibri" w:hAnsi="Calibri"/>
          <w:color w:val="525866"/>
          <w:sz w:val="22"/>
        </w:rPr>
        <w:t>Teradyne shareholders elected directors, approved executive pay, and ratified the auditor. No material governance changes. Implication: Routine; no read-through for the print.</w:t>
      </w:r>
    </w:p>
    <w:p>
      <w:pPr>
        <w:pStyle w:val="ListBullet"/>
        <w:ind w:left="360" w:hanging="360"/>
      </w:pPr>
      <w:r>
        <w:rPr>
          <w:rFonts w:ascii="Calibri" w:hAnsi="Calibri"/>
          <w:b/>
          <w:color w:val="525866"/>
          <w:sz w:val="22"/>
        </w:rPr>
        <w:t xml:space="preserve">Jul 14, 2026 — Q2 2026 earnings date announced: </w:t>
      </w:r>
      <w:r>
        <w:rPr>
          <w:rFonts w:ascii="Calibri" w:hAnsi="Calibri"/>
          <w:color w:val="525866"/>
          <w:sz w:val="22"/>
        </w:rPr>
        <w:t>Teradyne announced Q2 2026 results will be released July 28, 2026 after market close, with a conference call on July 29 at 8:30 a.m. ET. Implication: Confirms timeline; no pre-announcement or guidance revision was issued, which is consistent with results tracking within the guidance range.</w:t>
      </w:r>
    </w:p>
    <w:p>
      <w:pPr>
        <w:pStyle w:val="ListBullet"/>
        <w:ind w:left="360" w:hanging="360"/>
      </w:pPr>
      <w:r>
        <w:rPr>
          <w:rFonts w:ascii="Calibri" w:hAnsi="Calibri"/>
          <w:b/>
          <w:color w:val="525866"/>
          <w:sz w:val="22"/>
        </w:rPr>
        <w:t xml:space="preserve">Jun 30, 2026 — TER stock peaked at $483.84 (+27% from Q1 earnings close): </w:t>
      </w:r>
      <w:r>
        <w:rPr>
          <w:rFonts w:ascii="Calibri" w:hAnsi="Calibri"/>
          <w:color w:val="525866"/>
          <w:sz w:val="22"/>
        </w:rPr>
        <w:t>The stock reached an all-time high on the last day of Q2, driven by AI capex headlines and sector momentum, before reversing sharply. Implication: The peak-to-trough reversal of ~31% by late July has created a more attractive entry point but also raises the stakes for Q2 results to re-anchor the bull case.</w:t>
      </w:r>
    </w:p>
    <w:p>
      <w:pPr>
        <w:pStyle w:val="ListBullet"/>
        <w:ind w:left="360" w:hanging="360"/>
      </w:pPr>
      <w:r>
        <w:rPr>
          <w:rFonts w:ascii="Calibri" w:hAnsi="Calibri"/>
          <w:b/>
          <w:color w:val="525866"/>
          <w:sz w:val="22"/>
        </w:rPr>
        <w:t xml:space="preserve">Jul 22–27, 2026 — Peer earnings (TXN, AMKR) confirm robust AI/compute demand: </w:t>
      </w:r>
      <w:r>
        <w:rPr>
          <w:rFonts w:ascii="Calibri" w:hAnsi="Calibri"/>
          <w:color w:val="525866"/>
          <w:sz w:val="22"/>
        </w:rPr>
        <w:t>TXN reported above-seasonal Q3 guidance; AMKR reported record Q2 computing revenue and guided Q3 computing up ~30% sequentially. Both validate TER's end-market demand thesis. Implication: Positive setup for TER's Q2 print and Q3 guidance; reduces risk of a demand-driven miss.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All insider transactions since Q1 earnings are 10b5-1 planned sales — no discretionary open-market selling and zero open-market buying; the mechanical, pre-scheduled nature of all activity means there is no directional signal from insiders heading into Q2 results.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Smith, Gregory Stephen</w:t>
            </w:r>
          </w:p>
        </w:tc>
        <w:tc>
          <w:tcPr>
            <w:tcW w:type="dxa" w:w="1440"/>
          </w:tcPr>
          <w:p>
            <w:r>
              <w:rPr>
                <w:rFonts w:ascii="Calibri" w:hAnsi="Calibri"/>
                <w:sz w:val="22"/>
              </w:rPr>
              <w:t>President &amp; CEO, Director</w:t>
            </w:r>
          </w:p>
        </w:tc>
        <w:tc>
          <w:tcPr>
            <w:tcW w:type="dxa" w:w="1440"/>
          </w:tcPr>
          <w:p>
            <w:r>
              <w:rPr>
                <w:rFonts w:ascii="Calibri" w:hAnsi="Calibri"/>
                <w:sz w:val="22"/>
              </w:rPr>
              <w:t>10b5-1 Planned Sale</w:t>
            </w:r>
          </w:p>
        </w:tc>
        <w:tc>
          <w:tcPr>
            <w:tcW w:type="dxa" w:w="1440"/>
          </w:tcPr>
          <w:p>
            <w:r>
              <w:rPr>
                <w:rFonts w:ascii="Calibri" w:hAnsi="Calibri"/>
                <w:sz w:val="22"/>
              </w:rPr>
              <w:t>4,000</w:t>
            </w:r>
          </w:p>
        </w:tc>
        <w:tc>
          <w:tcPr>
            <w:tcW w:type="dxa" w:w="1440"/>
          </w:tcPr>
          <w:p>
            <w:r>
              <w:rPr>
                <w:rFonts w:ascii="Calibri" w:hAnsi="Calibri"/>
                <w:sz w:val="22"/>
              </w:rPr>
              <w:t>Jul 15, 2026</w:t>
            </w:r>
          </w:p>
        </w:tc>
        <w:tc>
          <w:tcPr>
            <w:tcW w:type="dxa" w:w="1440"/>
          </w:tcPr>
          <w:p>
            <w:r>
              <w:rPr>
                <w:rFonts w:ascii="Calibri" w:hAnsi="Calibri"/>
                <w:sz w:val="22"/>
              </w:rPr>
              <w:t>Pre-scheduled 10b5-1 plan; routine monthly cadence; no discretionary signal.</w:t>
            </w:r>
          </w:p>
        </w:tc>
      </w:tr>
      <w:tr>
        <w:tc>
          <w:tcPr>
            <w:tcW w:type="dxa" w:w="1440"/>
          </w:tcPr>
          <w:p>
            <w:r>
              <w:rPr>
                <w:rFonts w:ascii="Calibri" w:hAnsi="Calibri"/>
                <w:sz w:val="22"/>
              </w:rPr>
              <w:t>Matz, Marilyn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1,200</w:t>
            </w:r>
          </w:p>
        </w:tc>
        <w:tc>
          <w:tcPr>
            <w:tcW w:type="dxa" w:w="1440"/>
          </w:tcPr>
          <w:p>
            <w:r>
              <w:rPr>
                <w:rFonts w:ascii="Calibri" w:hAnsi="Calibri"/>
                <w:sz w:val="22"/>
              </w:rPr>
              <w:t>Jul 15, 2026</w:t>
            </w:r>
          </w:p>
        </w:tc>
        <w:tc>
          <w:tcPr>
            <w:tcW w:type="dxa" w:w="1440"/>
          </w:tcPr>
          <w:p>
            <w:r>
              <w:rPr>
                <w:rFonts w:ascii="Calibri" w:hAnsi="Calibri"/>
                <w:sz w:val="22"/>
              </w:rPr>
              <w:t>Pre-scheduled 10b5-1 plan; consistent with prior months.</w:t>
            </w:r>
          </w:p>
        </w:tc>
      </w:tr>
      <w:tr>
        <w:tc>
          <w:tcPr>
            <w:tcW w:type="dxa" w:w="1440"/>
          </w:tcPr>
          <w:p>
            <w:r>
              <w:rPr>
                <w:rFonts w:ascii="Calibri" w:hAnsi="Calibri"/>
                <w:sz w:val="22"/>
              </w:rPr>
              <w:t>Johnson, Mercedes</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167</w:t>
            </w:r>
          </w:p>
        </w:tc>
        <w:tc>
          <w:tcPr>
            <w:tcW w:type="dxa" w:w="1440"/>
          </w:tcPr>
          <w:p>
            <w:r>
              <w:rPr>
                <w:rFonts w:ascii="Calibri" w:hAnsi="Calibri"/>
                <w:sz w:val="22"/>
              </w:rPr>
              <w:t>Jul 1, 2026</w:t>
            </w:r>
          </w:p>
        </w:tc>
        <w:tc>
          <w:tcPr>
            <w:tcW w:type="dxa" w:w="1440"/>
          </w:tcPr>
          <w:p>
            <w:r>
              <w:rPr>
                <w:rFonts w:ascii="Calibri" w:hAnsi="Calibri"/>
                <w:sz w:val="22"/>
              </w:rPr>
              <w:t>Pre-scheduled 10b5-1 plan; consistent with prior months.</w:t>
            </w:r>
          </w:p>
        </w:tc>
      </w:tr>
      <w:tr>
        <w:tc>
          <w:tcPr>
            <w:tcW w:type="dxa" w:w="1440"/>
          </w:tcPr>
          <w:p>
            <w:r>
              <w:rPr>
                <w:rFonts w:ascii="Calibri" w:hAnsi="Calibri"/>
                <w:sz w:val="22"/>
              </w:rPr>
              <w:t>Smith, Gregory Stephen</w:t>
            </w:r>
          </w:p>
        </w:tc>
        <w:tc>
          <w:tcPr>
            <w:tcW w:type="dxa" w:w="1440"/>
          </w:tcPr>
          <w:p>
            <w:r>
              <w:rPr>
                <w:rFonts w:ascii="Calibri" w:hAnsi="Calibri"/>
                <w:sz w:val="22"/>
              </w:rPr>
              <w:t>President &amp; CEO, Director</w:t>
            </w:r>
          </w:p>
        </w:tc>
        <w:tc>
          <w:tcPr>
            <w:tcW w:type="dxa" w:w="1440"/>
          </w:tcPr>
          <w:p>
            <w:r>
              <w:rPr>
                <w:rFonts w:ascii="Calibri" w:hAnsi="Calibri"/>
                <w:sz w:val="22"/>
              </w:rPr>
              <w:t>10b5-1 Planned Sale</w:t>
            </w:r>
          </w:p>
        </w:tc>
        <w:tc>
          <w:tcPr>
            <w:tcW w:type="dxa" w:w="1440"/>
          </w:tcPr>
          <w:p>
            <w:r>
              <w:rPr>
                <w:rFonts w:ascii="Calibri" w:hAnsi="Calibri"/>
                <w:sz w:val="22"/>
              </w:rPr>
              <w:t>4,000</w:t>
            </w:r>
          </w:p>
        </w:tc>
        <w:tc>
          <w:tcPr>
            <w:tcW w:type="dxa" w:w="1440"/>
          </w:tcPr>
          <w:p>
            <w:r>
              <w:rPr>
                <w:rFonts w:ascii="Calibri" w:hAnsi="Calibri"/>
                <w:sz w:val="22"/>
              </w:rPr>
              <w:t>Jun 15, 2026</w:t>
            </w:r>
          </w:p>
        </w:tc>
        <w:tc>
          <w:tcPr>
            <w:tcW w:type="dxa" w:w="1440"/>
          </w:tcPr>
          <w:p>
            <w:r>
              <w:rPr>
                <w:rFonts w:ascii="Calibri" w:hAnsi="Calibri"/>
                <w:sz w:val="22"/>
              </w:rPr>
              <w:t>Pre-scheduled 10b5-1 plan; routine monthly cadence.</w:t>
            </w:r>
          </w:p>
        </w:tc>
      </w:tr>
      <w:tr>
        <w:tc>
          <w:tcPr>
            <w:tcW w:type="dxa" w:w="1440"/>
          </w:tcPr>
          <w:p>
            <w:r>
              <w:rPr>
                <w:rFonts w:ascii="Calibri" w:hAnsi="Calibri"/>
                <w:sz w:val="22"/>
              </w:rPr>
              <w:t>Matz, Marilyn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1,200</w:t>
            </w:r>
          </w:p>
        </w:tc>
        <w:tc>
          <w:tcPr>
            <w:tcW w:type="dxa" w:w="1440"/>
          </w:tcPr>
          <w:p>
            <w:r>
              <w:rPr>
                <w:rFonts w:ascii="Calibri" w:hAnsi="Calibri"/>
                <w:sz w:val="22"/>
              </w:rPr>
              <w:t>Jun 15, 2026</w:t>
            </w:r>
          </w:p>
        </w:tc>
        <w:tc>
          <w:tcPr>
            <w:tcW w:type="dxa" w:w="1440"/>
          </w:tcPr>
          <w:p>
            <w:r>
              <w:rPr>
                <w:rFonts w:ascii="Calibri" w:hAnsi="Calibri"/>
                <w:sz w:val="22"/>
              </w:rPr>
              <w:t>Pre-scheduled 10b5-1 plan.</w:t>
            </w:r>
          </w:p>
        </w:tc>
      </w:tr>
      <w:tr>
        <w:tc>
          <w:tcPr>
            <w:tcW w:type="dxa" w:w="1440"/>
          </w:tcPr>
          <w:p>
            <w:r>
              <w:rPr>
                <w:rFonts w:ascii="Calibri" w:hAnsi="Calibri"/>
                <w:sz w:val="22"/>
              </w:rPr>
              <w:t>Johnson, Mercedes</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167</w:t>
            </w:r>
          </w:p>
        </w:tc>
        <w:tc>
          <w:tcPr>
            <w:tcW w:type="dxa" w:w="1440"/>
          </w:tcPr>
          <w:p>
            <w:r>
              <w:rPr>
                <w:rFonts w:ascii="Calibri" w:hAnsi="Calibri"/>
                <w:sz w:val="22"/>
              </w:rPr>
              <w:t>Jun 2, 2026</w:t>
            </w:r>
          </w:p>
        </w:tc>
        <w:tc>
          <w:tcPr>
            <w:tcW w:type="dxa" w:w="1440"/>
          </w:tcPr>
          <w:p>
            <w:r>
              <w:rPr>
                <w:rFonts w:ascii="Calibri" w:hAnsi="Calibri"/>
                <w:sz w:val="22"/>
              </w:rPr>
              <w:t>Pre-scheduled 10b5-1 plan.</w:t>
            </w:r>
          </w:p>
        </w:tc>
      </w:tr>
      <w:tr>
        <w:tc>
          <w:tcPr>
            <w:tcW w:type="dxa" w:w="1440"/>
          </w:tcPr>
          <w:p>
            <w:r>
              <w:rPr>
                <w:rFonts w:ascii="Calibri" w:hAnsi="Calibri"/>
                <w:sz w:val="22"/>
              </w:rPr>
              <w:t>Matz, Marilyn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400</w:t>
            </w:r>
          </w:p>
        </w:tc>
        <w:tc>
          <w:tcPr>
            <w:tcW w:type="dxa" w:w="1440"/>
          </w:tcPr>
          <w:p>
            <w:r>
              <w:rPr>
                <w:rFonts w:ascii="Calibri" w:hAnsi="Calibri"/>
                <w:sz w:val="22"/>
              </w:rPr>
              <w:t>May 21, 2026</w:t>
            </w:r>
          </w:p>
        </w:tc>
        <w:tc>
          <w:tcPr>
            <w:tcW w:type="dxa" w:w="1440"/>
          </w:tcPr>
          <w:p>
            <w:r>
              <w:rPr>
                <w:rFonts w:ascii="Calibri" w:hAnsi="Calibri"/>
                <w:sz w:val="22"/>
              </w:rPr>
              <w:t>Pre-scheduled 10b5-1 plan.</w:t>
            </w:r>
          </w:p>
        </w:tc>
      </w:tr>
      <w:tr>
        <w:tc>
          <w:tcPr>
            <w:tcW w:type="dxa" w:w="1440"/>
          </w:tcPr>
          <w:p>
            <w:r>
              <w:rPr>
                <w:rFonts w:ascii="Calibri" w:hAnsi="Calibri"/>
                <w:sz w:val="22"/>
              </w:rPr>
              <w:t>Matz, Marilyn</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800</w:t>
            </w:r>
          </w:p>
        </w:tc>
        <w:tc>
          <w:tcPr>
            <w:tcW w:type="dxa" w:w="1440"/>
          </w:tcPr>
          <w:p>
            <w:r>
              <w:rPr>
                <w:rFonts w:ascii="Calibri" w:hAnsi="Calibri"/>
                <w:sz w:val="22"/>
              </w:rPr>
              <w:t>May 15, 2026</w:t>
            </w:r>
          </w:p>
        </w:tc>
        <w:tc>
          <w:tcPr>
            <w:tcW w:type="dxa" w:w="1440"/>
          </w:tcPr>
          <w:p>
            <w:r>
              <w:rPr>
                <w:rFonts w:ascii="Calibri" w:hAnsi="Calibri"/>
                <w:sz w:val="22"/>
              </w:rPr>
              <w:t>Pre-scheduled 10b5-1 plan.</w:t>
            </w:r>
          </w:p>
        </w:tc>
      </w:tr>
      <w:tr>
        <w:tc>
          <w:tcPr>
            <w:tcW w:type="dxa" w:w="1440"/>
          </w:tcPr>
          <w:p>
            <w:r>
              <w:rPr>
                <w:rFonts w:ascii="Calibri" w:hAnsi="Calibri"/>
                <w:sz w:val="22"/>
              </w:rPr>
              <w:t>Driscoll, Ryan</w:t>
            </w:r>
          </w:p>
        </w:tc>
        <w:tc>
          <w:tcPr>
            <w:tcW w:type="dxa" w:w="1440"/>
          </w:tcPr>
          <w:p>
            <w:r>
              <w:rPr>
                <w:rFonts w:ascii="Calibri" w:hAnsi="Calibri"/>
                <w:sz w:val="22"/>
              </w:rPr>
              <w:t>VP, General Counsel &amp; Secretary</w:t>
            </w:r>
          </w:p>
        </w:tc>
        <w:tc>
          <w:tcPr>
            <w:tcW w:type="dxa" w:w="1440"/>
          </w:tcPr>
          <w:p>
            <w:r>
              <w:rPr>
                <w:rFonts w:ascii="Calibri" w:hAnsi="Calibri"/>
                <w:sz w:val="22"/>
              </w:rPr>
              <w:t>10b5-1 Planned Sale</w:t>
            </w:r>
          </w:p>
        </w:tc>
        <w:tc>
          <w:tcPr>
            <w:tcW w:type="dxa" w:w="1440"/>
          </w:tcPr>
          <w:p>
            <w:r>
              <w:rPr>
                <w:rFonts w:ascii="Calibri" w:hAnsi="Calibri"/>
                <w:sz w:val="22"/>
              </w:rPr>
              <w:t>680</w:t>
            </w:r>
          </w:p>
        </w:tc>
        <w:tc>
          <w:tcPr>
            <w:tcW w:type="dxa" w:w="1440"/>
          </w:tcPr>
          <w:p>
            <w:r>
              <w:rPr>
                <w:rFonts w:ascii="Calibri" w:hAnsi="Calibri"/>
                <w:sz w:val="22"/>
              </w:rPr>
              <w:t>May 7, 2026</w:t>
            </w:r>
          </w:p>
        </w:tc>
        <w:tc>
          <w:tcPr>
            <w:tcW w:type="dxa" w:w="1440"/>
          </w:tcPr>
          <w:p>
            <w:r>
              <w:rPr>
                <w:rFonts w:ascii="Calibri" w:hAnsi="Calibri"/>
                <w:sz w:val="22"/>
              </w:rPr>
              <w:t>Pre-scheduled 10b5-1 plan.</w:t>
            </w:r>
          </w:p>
        </w:tc>
      </w:tr>
    </w:tbl>
    <w:p>
      <w:r>
        <w:rPr>
          <w:rFonts w:ascii="Calibri" w:hAnsi="Calibri"/>
          <w:color w:val="525866"/>
          <w:sz w:val="22"/>
        </w:rPr>
        <w:t>Source: SEC Form 4 Filings Database (Insider Transaction Data). All transactions are Form 4 open-market dispositions (code S) executed under pre-established 10b5-1 trading plans. No open-market purchases were filed in the period. The CEO's monthly 4,000-share sales and Director Matz's recurring monthly sales are consistent with a long-running, pre-scheduled plan and carry no directional information about management's view of Q2 results.</w:t>
      </w:r>
    </w:p>
    <w:p>
      <w:r>
        <w:br w:type="page"/>
      </w:r>
    </w:p>
    <w:p>
      <w:pPr>
        <w:pStyle w:val="Heading2"/>
      </w:pPr>
      <w:r>
        <w:rPr>
          <w:rFonts w:ascii="Calibri" w:hAnsi="Calibri"/>
          <w:b/>
          <w:color w:val="3B4259"/>
          <w:sz w:val="28"/>
        </w:rPr>
        <w:t>9. Risks &amp; Considerations</w:t>
      </w:r>
    </w:p>
    <w:p>
      <w:r>
        <w:rPr>
          <w:rFonts w:ascii="Calibri" w:hAnsi="Calibri"/>
          <w:b/>
          <w:color w:val="525866"/>
          <w:sz w:val="22"/>
        </w:rPr>
        <w:t xml:space="preserve">Key Takeaway: </w:t>
      </w:r>
      <w:r>
        <w:rPr>
          <w:rFonts w:ascii="Calibri" w:hAnsi="Calibri"/>
          <w:b/>
          <w:color w:val="525866"/>
          <w:sz w:val="22"/>
        </w:rPr>
        <w:t>The primary risk is H2 demand visibility — if management widens the uncertainty range further or signals VIP compute demand is more back-half weighted than expected, the stock's already-compressed multiple could face additional pressure; the primary upside catalyst is any pull-forward signal on the next-generation VIP compute wave or merchant GPU ramp acceleration.</w:t>
      </w:r>
    </w:p>
    <w:p>
      <w:pPr>
        <w:pStyle w:val="Heading3"/>
      </w:pPr>
      <w:r>
        <w:rPr>
          <w:rFonts w:ascii="Calibri" w:hAnsi="Calibri"/>
          <w:b/>
          <w:color w:val="3B4259"/>
          <w:sz w:val="24"/>
        </w:rPr>
        <w:t>Downside Risks</w:t>
      </w:r>
    </w:p>
    <w:p>
      <w:pPr>
        <w:pStyle w:val="ListBullet"/>
        <w:ind w:left="360" w:hanging="360"/>
      </w:pPr>
      <w:r>
        <w:rPr>
          <w:rFonts w:ascii="Calibri" w:hAnsi="Calibri"/>
          <w:b/>
          <w:color w:val="525866"/>
          <w:sz w:val="22"/>
        </w:rPr>
        <w:t xml:space="preserve">H2 VIP compute demand timing: </w:t>
      </w:r>
      <w:r>
        <w:rPr>
          <w:rFonts w:ascii="Calibri" w:hAnsi="Calibri"/>
          <w:color w:val="525866"/>
          <w:sz w:val="22"/>
        </w:rPr>
        <w:t>Management has explicitly flagged that VIP compute is "most first-half weighted" and the next-generation wave is expected in "early 2027." Any signal that H2 demand is softer than the 40%–45% of annual revenue implied by the 55%–60% H1 weighting range would be a significant negative, particularly given the stock's premium multiple.</w:t>
      </w:r>
    </w:p>
    <w:p>
      <w:pPr>
        <w:pStyle w:val="ListBullet"/>
        <w:ind w:left="360" w:hanging="360"/>
      </w:pPr>
      <w:r>
        <w:rPr>
          <w:rFonts w:ascii="Calibri" w:hAnsi="Calibri"/>
          <w:b/>
          <w:color w:val="525866"/>
          <w:sz w:val="22"/>
        </w:rPr>
        <w:t xml:space="preserve">Gross margin normalization risk: </w:t>
      </w:r>
      <w:r>
        <w:rPr>
          <w:rFonts w:ascii="Calibri" w:hAnsi="Calibri"/>
          <w:color w:val="525866"/>
          <w:sz w:val="22"/>
        </w:rPr>
        <w:t>Q1 2026 gross margin of ~60.9% (non-GAAP) benefited from peak volumes and non-recurring operational benefits. Q2 guidance of 58%–59% implies meaningful normalization; if product mix shifts further toward lower-margin segments (robotics, memory) or if merchant GPU systems carry below-average margins in the initial ramp, gross margin could disappoint.</w:t>
      </w:r>
    </w:p>
    <w:p>
      <w:pPr>
        <w:pStyle w:val="ListBullet"/>
        <w:ind w:left="360" w:hanging="360"/>
      </w:pPr>
      <w:r>
        <w:rPr>
          <w:rFonts w:ascii="Calibri" w:hAnsi="Calibri"/>
          <w:b/>
          <w:color w:val="525866"/>
          <w:sz w:val="22"/>
        </w:rPr>
        <w:t xml:space="preserve">Merchant GPU ramp slower than expected: </w:t>
      </w:r>
      <w:r>
        <w:rPr>
          <w:rFonts w:ascii="Calibri" w:hAnsi="Calibri"/>
          <w:color w:val="525866"/>
          <w:sz w:val="22"/>
        </w:rPr>
        <w:t>The fast-follower strategy has a natural ceiling of ~30% share and requires efficient execution of test program bring-up for new devices. Any delay in the fast-follower phase or lower-than-expected Q2 GPU revenue contribution would be a negative signal for the multi-year GPU ramp narrative.</w:t>
      </w:r>
    </w:p>
    <w:p>
      <w:pPr>
        <w:pStyle w:val="ListBullet"/>
        <w:ind w:left="360" w:hanging="360"/>
      </w:pPr>
      <w:r>
        <w:rPr>
          <w:rFonts w:ascii="Calibri" w:hAnsi="Calibri"/>
          <w:b/>
          <w:color w:val="525866"/>
          <w:sz w:val="22"/>
        </w:rPr>
        <w:t xml:space="preserve">Networking share risk at merchant GPU customer: </w:t>
      </w:r>
      <w:r>
        <w:rPr>
          <w:rFonts w:ascii="Calibri" w:hAnsi="Calibri"/>
          <w:color w:val="525866"/>
          <w:sz w:val="22"/>
        </w:rPr>
        <w:t>Management explicitly acknowledged at the BofA conference that the dual-vendor relationship at the merchant GPU customer "presents a downside risk to Teradyne's networking share at that account." If the customer reallocates networking test capacity to the incumbent in exchange for compute share, TER's total revenue at that account could be lower than modeled.</w:t>
      </w:r>
    </w:p>
    <w:p>
      <w:pPr>
        <w:pStyle w:val="ListBullet"/>
        <w:ind w:left="360" w:hanging="360"/>
      </w:pPr>
      <w:r>
        <w:rPr>
          <w:rFonts w:ascii="Calibri" w:hAnsi="Calibri"/>
          <w:b/>
          <w:color w:val="525866"/>
          <w:sz w:val="22"/>
        </w:rPr>
        <w:t xml:space="preserve">Mobile SoC further weakness: </w:t>
      </w:r>
      <w:r>
        <w:rPr>
          <w:rFonts w:ascii="Calibri" w:hAnsi="Calibri"/>
          <w:color w:val="525866"/>
          <w:sz w:val="22"/>
        </w:rPr>
        <w:t>Mobile was described as "a bit weaker" on the Q1 call, with memory pricing and availability affecting end-market demand outside the iOS ecosystem. AMKR's Q3 communications guidance (high single-digit sequential decline) and TXN's PE headwinds suggest mobile softness is not abating. While mobile is a small and declining share of TER's revenue, further weakness could weigh on SoC Test consensus.</w:t>
      </w:r>
    </w:p>
    <w:p>
      <w:pPr>
        <w:pStyle w:val="ListBullet"/>
        <w:ind w:left="360" w:hanging="360"/>
      </w:pPr>
      <w:r>
        <w:rPr>
          <w:rFonts w:ascii="Calibri" w:hAnsi="Calibri"/>
          <w:b/>
          <w:color w:val="525866"/>
          <w:sz w:val="22"/>
        </w:rPr>
        <w:t xml:space="preserve">Multiple compression risk: </w:t>
      </w:r>
      <w:r>
        <w:rPr>
          <w:rFonts w:ascii="Calibri" w:hAnsi="Calibri"/>
          <w:color w:val="525866"/>
          <w:sz w:val="22"/>
        </w:rPr>
        <w:t>TER trades at ~39x NTM P/E and ~29x NTM EV/EBITDA, still well above historical averages for semiconductor capital equipment. If AI capex narratives moderate or if the broader semiconductor cycle shows signs of peaking, further multiple compression is possible even if fundamentals hold.</w:t>
      </w:r>
    </w:p>
    <w:p>
      <w:pPr>
        <w:pStyle w:val="ListBullet"/>
        <w:ind w:left="360" w:hanging="360"/>
      </w:pPr>
      <w:r>
        <w:rPr>
          <w:rFonts w:ascii="Calibri" w:hAnsi="Calibri"/>
          <w:b/>
          <w:color w:val="525866"/>
          <w:sz w:val="22"/>
        </w:rPr>
        <w:t xml:space="preserve">Credit revolver utilization: </w:t>
      </w:r>
      <w:r>
        <w:rPr>
          <w:rFonts w:ascii="Calibri" w:hAnsi="Calibri"/>
          <w:color w:val="525866"/>
          <w:sz w:val="22"/>
        </w:rPr>
        <w:t>The two April acquisitions consumed ~$165M of cash funded via the credit revolver. While manageable given TER's free cash flow generation, increased leverage reduces financial flexibility and could weigh on capital return expectations.</w:t>
      </w:r>
    </w:p>
    <w:p>
      <w:pPr>
        <w:pStyle w:val="Heading3"/>
      </w:pPr>
      <w:r>
        <w:rPr>
          <w:rFonts w:ascii="Calibri" w:hAnsi="Calibri"/>
          <w:b/>
          <w:color w:val="3B4259"/>
          <w:sz w:val="24"/>
        </w:rPr>
        <w:t>Upside Catalysts</w:t>
      </w:r>
    </w:p>
    <w:p>
      <w:pPr>
        <w:pStyle w:val="ListBullet"/>
        <w:ind w:left="360" w:hanging="360"/>
      </w:pPr>
      <w:r>
        <w:rPr>
          <w:rFonts w:ascii="Calibri" w:hAnsi="Calibri"/>
          <w:b/>
          <w:color w:val="525866"/>
          <w:sz w:val="22"/>
        </w:rPr>
        <w:t xml:space="preserve">VIP compute next-generation wave pull-forward: </w:t>
      </w:r>
      <w:r>
        <w:rPr>
          <w:rFonts w:ascii="Calibri" w:hAnsi="Calibri"/>
          <w:color w:val="525866"/>
          <w:sz w:val="22"/>
        </w:rPr>
        <w:t>Management noted the next VIP compute wave "might start bleeding in or pulling into the end of 2026." Any confirmation of earlier-than-expected demand would be a significant positive for H2 revenue and FY2026 estimates.</w:t>
      </w:r>
    </w:p>
    <w:p>
      <w:pPr>
        <w:pStyle w:val="ListBullet"/>
        <w:ind w:left="360" w:hanging="360"/>
      </w:pPr>
      <w:r>
        <w:rPr>
          <w:rFonts w:ascii="Calibri" w:hAnsi="Calibri"/>
          <w:b/>
          <w:color w:val="525866"/>
          <w:sz w:val="22"/>
        </w:rPr>
        <w:t xml:space="preserve">Merchant GPU ramp acceleration: </w:t>
      </w:r>
      <w:r>
        <w:rPr>
          <w:rFonts w:ascii="Calibri" w:hAnsi="Calibri"/>
          <w:color w:val="525866"/>
          <w:sz w:val="22"/>
        </w:rPr>
        <w:t>If Q2 GPU revenue contribution exceeds the ~$50M FY2026 run-rate implied by management's guidance, or if the fast-follower phase progresses faster than the 3–4 year timeline to mature dual-vendor status, the GPU share gain story would re-rate the stock.</w:t>
      </w:r>
    </w:p>
    <w:p>
      <w:pPr>
        <w:pStyle w:val="ListBullet"/>
        <w:ind w:left="360" w:hanging="360"/>
      </w:pPr>
      <w:r>
        <w:rPr>
          <w:rFonts w:ascii="Calibri" w:hAnsi="Calibri"/>
          <w:b/>
          <w:color w:val="525866"/>
          <w:sz w:val="22"/>
        </w:rPr>
        <w:t xml:space="preserve">Memory test demand upside: </w:t>
      </w:r>
      <w:r>
        <w:rPr>
          <w:rFonts w:ascii="Calibri" w:hAnsi="Calibri"/>
          <w:color w:val="525866"/>
          <w:sz w:val="22"/>
        </w:rPr>
        <w:t>Management described memory as "more back-half weighted" and "even stronger than our view in January." If HBM and DRAM demand accelerates further in H2 (supported by AEHR's commentary on HBM testability evolution and AMKR's capacity expansion), memory test could provide a meaningful offset to any VIP compute lumpiness.</w:t>
      </w:r>
    </w:p>
    <w:p>
      <w:pPr>
        <w:pStyle w:val="ListBullet"/>
        <w:ind w:left="360" w:hanging="360"/>
      </w:pPr>
      <w:r>
        <w:rPr>
          <w:rFonts w:ascii="Calibri" w:hAnsi="Calibri"/>
          <w:b/>
          <w:color w:val="525866"/>
          <w:sz w:val="22"/>
        </w:rPr>
        <w:t xml:space="preserve">CPO/silicon photonics TAM expansion: </w:t>
      </w:r>
      <w:r>
        <w:rPr>
          <w:rFonts w:ascii="Calibri" w:hAnsi="Calibri"/>
          <w:color w:val="525866"/>
          <w:sz w:val="22"/>
        </w:rPr>
        <w:t>The ~$100M of CPO test equipment expected to be purchased in 2026 is just the beginning of a TAM that management expects to reach $300M–$700M by 2028 and exceed $1B post-2028. Any acceleration in CPO deployment timelines would pull forward this TAM.</w:t>
      </w:r>
    </w:p>
    <w:p>
      <w:pPr>
        <w:pStyle w:val="ListBullet"/>
        <w:ind w:left="360" w:hanging="360"/>
      </w:pPr>
      <w:r>
        <w:rPr>
          <w:rFonts w:ascii="Calibri" w:hAnsi="Calibri"/>
          <w:b/>
          <w:color w:val="525866"/>
          <w:sz w:val="22"/>
        </w:rPr>
        <w:t xml:space="preserve">Auto/industrial cyclical recovery: </w:t>
      </w:r>
      <w:r>
        <w:rPr>
          <w:rFonts w:ascii="Calibri" w:hAnsi="Calibri"/>
          <w:color w:val="525866"/>
          <w:sz w:val="22"/>
        </w:rPr>
        <w:t>TXN's strong industrial and automotive commentary (industrial +30% YoY, auto +mid-teens YoY) and AEHR's silicon carbide recovery signal that TER's auto/industrial segment may be at an earlier stage of recovery than consensus assumes.</w:t>
      </w:r>
    </w:p>
    <w:p>
      <w:pPr>
        <w:pStyle w:val="ListBullet"/>
        <w:ind w:left="360" w:hanging="360"/>
      </w:pPr>
      <w:r>
        <w:rPr>
          <w:rFonts w:ascii="Calibri" w:hAnsi="Calibri"/>
          <w:b/>
          <w:color w:val="525866"/>
          <w:sz w:val="22"/>
        </w:rPr>
        <w:t xml:space="preserve">Robotics AI monetization: </w:t>
      </w:r>
      <w:r>
        <w:rPr>
          <w:rFonts w:ascii="Calibri" w:hAnsi="Calibri"/>
          <w:color w:val="525866"/>
          <w:sz w:val="22"/>
        </w:rPr>
        <w:t>AI revenue reached 15% of robotics sales in Q1 2026, and TER is positioning as a "destination platform for physical AI applications." Partnerships with Skild, Generalist Intrinsic, Microsoft, and NVIDIA could accelerate the robotics growth trajectory beyond the current cautious consensus.</w:t>
      </w:r>
    </w:p>
    <w:p>
      <w:r>
        <w:br w:type="page"/>
      </w:r>
    </w:p>
    <w:p>
      <w:pPr>
        <w:pStyle w:val="Heading2"/>
      </w:pPr>
      <w:r>
        <w:rPr>
          <w:rFonts w:ascii="Calibri" w:hAnsi="Calibri"/>
          <w:b/>
          <w:color w:val="3B4259"/>
          <w:sz w:val="28"/>
        </w:rPr>
        <w:t>Appendix: Valuation Context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Metric</w:t>
            </w:r>
          </w:p>
        </w:tc>
        <w:tc>
          <w:tcPr>
            <w:tcW w:type="dxa" w:w="1440"/>
            <w:shd w:val="clear" w:color="auto" w:fill="3B4259"/>
          </w:tcPr>
          <w:p>
            <w:r>
              <w:rPr>
                <w:rFonts w:ascii="Calibri" w:hAnsi="Calibri"/>
                <w:b/>
                <w:color w:val="FFFFFF"/>
                <w:sz w:val="22"/>
              </w:rPr>
              <w:t>Current (Jul 27, 2026)</w:t>
            </w:r>
          </w:p>
        </w:tc>
        <w:tc>
          <w:tcPr>
            <w:tcW w:type="dxa" w:w="1440"/>
            <w:shd w:val="clear" w:color="auto" w:fill="3B4259"/>
          </w:tcPr>
          <w:p>
            <w:r>
              <w:rPr>
                <w:rFonts w:ascii="Calibri" w:hAnsi="Calibri"/>
                <w:b/>
                <w:color w:val="FFFFFF"/>
                <w:sz w:val="22"/>
              </w:rPr>
              <w:t>1 Month Ago</w:t>
            </w:r>
          </w:p>
        </w:tc>
        <w:tc>
          <w:tcPr>
            <w:tcW w:type="dxa" w:w="1440"/>
            <w:shd w:val="clear" w:color="auto" w:fill="3B4259"/>
          </w:tcPr>
          <w:p>
            <w:r>
              <w:rPr>
                <w:rFonts w:ascii="Calibri" w:hAnsi="Calibri"/>
                <w:b/>
                <w:color w:val="FFFFFF"/>
                <w:sz w:val="22"/>
              </w:rPr>
              <w:t>3 Months Ago</w:t>
            </w:r>
          </w:p>
        </w:tc>
        <w:tc>
          <w:tcPr>
            <w:tcW w:type="dxa" w:w="1440"/>
            <w:shd w:val="clear" w:color="auto" w:fill="3B4259"/>
          </w:tcPr>
          <w:p>
            <w:r>
              <w:rPr>
                <w:rFonts w:ascii="Calibri" w:hAnsi="Calibri"/>
                <w:b/>
                <w:color w:val="FFFFFF"/>
                <w:sz w:val="22"/>
              </w:rPr>
              <w:t>6 Months Ago</w:t>
            </w:r>
          </w:p>
        </w:tc>
        <w:tc>
          <w:tcPr>
            <w:tcW w:type="dxa" w:w="1440"/>
            <w:shd w:val="clear" w:color="auto" w:fill="3B4259"/>
          </w:tcPr>
          <w:p>
            <w:r>
              <w:rPr>
                <w:rFonts w:ascii="Calibri" w:hAnsi="Calibri"/>
                <w:b/>
                <w:color w:val="FFFFFF"/>
                <w:sz w:val="22"/>
              </w:rPr>
              <w:t>12 Months Ago</w:t>
            </w:r>
          </w:p>
        </w:tc>
      </w:tr>
      <w:tr>
        <w:tc>
          <w:tcPr>
            <w:tcW w:type="dxa" w:w="1440"/>
          </w:tcPr>
          <w:p>
            <w:r>
              <w:rPr>
                <w:rFonts w:ascii="Calibri" w:hAnsi="Calibri"/>
                <w:sz w:val="22"/>
              </w:rPr>
              <w:t>NTM EV/EBITDA</w:t>
            </w:r>
          </w:p>
        </w:tc>
        <w:tc>
          <w:tcPr>
            <w:tcW w:type="dxa" w:w="1440"/>
          </w:tcPr>
          <w:p>
            <w:r>
              <w:rPr>
                <w:rFonts w:ascii="Calibri" w:hAnsi="Calibri"/>
                <w:sz w:val="22"/>
              </w:rPr>
              <w:t>29.2x</w:t>
            </w:r>
          </w:p>
        </w:tc>
        <w:tc>
          <w:tcPr>
            <w:tcW w:type="dxa" w:w="1440"/>
          </w:tcPr>
          <w:p>
            <w:r>
              <w:rPr>
                <w:rFonts w:ascii="Calibri" w:hAnsi="Calibri"/>
                <w:sz w:val="22"/>
              </w:rPr>
              <w:t>37.8x</w:t>
            </w:r>
          </w:p>
        </w:tc>
        <w:tc>
          <w:tcPr>
            <w:tcW w:type="dxa" w:w="1440"/>
          </w:tcPr>
          <w:p>
            <w:r>
              <w:rPr>
                <w:rFonts w:ascii="Calibri" w:hAnsi="Calibri"/>
                <w:sz w:val="22"/>
              </w:rPr>
              <w:t>42.8x</w:t>
            </w:r>
          </w:p>
        </w:tc>
        <w:tc>
          <w:tcPr>
            <w:tcW w:type="dxa" w:w="1440"/>
          </w:tcPr>
          <w:p>
            <w:r>
              <w:rPr>
                <w:rFonts w:ascii="Calibri" w:hAnsi="Calibri"/>
                <w:sz w:val="22"/>
              </w:rPr>
              <w:t>31.1x</w:t>
            </w:r>
          </w:p>
        </w:tc>
        <w:tc>
          <w:tcPr>
            <w:tcW w:type="dxa" w:w="1440"/>
          </w:tcPr>
          <w:p>
            <w:r>
              <w:rPr>
                <w:rFonts w:ascii="Calibri" w:hAnsi="Calibri"/>
                <w:sz w:val="22"/>
              </w:rPr>
              <w:t>16.6x</w:t>
            </w:r>
          </w:p>
        </w:tc>
      </w:tr>
      <w:tr>
        <w:tc>
          <w:tcPr>
            <w:tcW w:type="dxa" w:w="1440"/>
          </w:tcPr>
          <w:p>
            <w:r>
              <w:rPr>
                <w:rFonts w:ascii="Calibri" w:hAnsi="Calibri"/>
                <w:sz w:val="22"/>
              </w:rPr>
              <w:t>NTM P/E</w:t>
            </w:r>
          </w:p>
        </w:tc>
        <w:tc>
          <w:tcPr>
            <w:tcW w:type="dxa" w:w="1440"/>
          </w:tcPr>
          <w:p>
            <w:r>
              <w:rPr>
                <w:rFonts w:ascii="Calibri" w:hAnsi="Calibri"/>
                <w:sz w:val="22"/>
              </w:rPr>
              <w:t>39.3x</w:t>
            </w:r>
          </w:p>
        </w:tc>
        <w:tc>
          <w:tcPr>
            <w:tcW w:type="dxa" w:w="1440"/>
          </w:tcPr>
          <w:p>
            <w:r>
              <w:rPr>
                <w:rFonts w:ascii="Calibri" w:hAnsi="Calibri"/>
                <w:sz w:val="22"/>
              </w:rPr>
              <w:t>50.3x</w:t>
            </w:r>
          </w:p>
        </w:tc>
        <w:tc>
          <w:tcPr>
            <w:tcW w:type="dxa" w:w="1440"/>
          </w:tcPr>
          <w:p>
            <w:r>
              <w:rPr>
                <w:rFonts w:ascii="Calibri" w:hAnsi="Calibri"/>
                <w:sz w:val="22"/>
              </w:rPr>
              <w:t>57.0x</w:t>
            </w:r>
          </w:p>
        </w:tc>
        <w:tc>
          <w:tcPr>
            <w:tcW w:type="dxa" w:w="1440"/>
          </w:tcPr>
          <w:p>
            <w:r>
              <w:rPr>
                <w:rFonts w:ascii="Calibri" w:hAnsi="Calibri"/>
                <w:sz w:val="22"/>
              </w:rPr>
              <w:t>42.5x</w:t>
            </w:r>
          </w:p>
        </w:tc>
        <w:tc>
          <w:tcPr>
            <w:tcW w:type="dxa" w:w="1440"/>
          </w:tcPr>
          <w:p>
            <w:r>
              <w:rPr>
                <w:rFonts w:ascii="Calibri" w:hAnsi="Calibri"/>
                <w:sz w:val="22"/>
              </w:rPr>
              <w:t>23.5x</w:t>
            </w:r>
          </w:p>
        </w:tc>
      </w:tr>
      <w:tr>
        <w:tc>
          <w:tcPr>
            <w:tcW w:type="dxa" w:w="1440"/>
          </w:tcPr>
          <w:p>
            <w:r>
              <w:rPr>
                <w:rFonts w:ascii="Calibri" w:hAnsi="Calibri"/>
                <w:sz w:val="22"/>
              </w:rPr>
              <w:t>NTM EV/Sales</w:t>
            </w:r>
          </w:p>
        </w:tc>
        <w:tc>
          <w:tcPr>
            <w:tcW w:type="dxa" w:w="1440"/>
          </w:tcPr>
          <w:p>
            <w:r>
              <w:rPr>
                <w:rFonts w:ascii="Calibri" w:hAnsi="Calibri"/>
                <w:sz w:val="22"/>
              </w:rPr>
              <w:t>10.7x</w:t>
            </w:r>
          </w:p>
        </w:tc>
        <w:tc>
          <w:tcPr>
            <w:tcW w:type="dxa" w:w="1440"/>
          </w:tcPr>
          <w:p>
            <w:r>
              <w:rPr>
                <w:rFonts w:ascii="Calibri" w:hAnsi="Calibri"/>
                <w:sz w:val="22"/>
              </w:rPr>
              <w:t>13.5x</w:t>
            </w:r>
          </w:p>
        </w:tc>
        <w:tc>
          <w:tcPr>
            <w:tcW w:type="dxa" w:w="1440"/>
          </w:tcPr>
          <w:p>
            <w:r>
              <w:rPr>
                <w:rFonts w:ascii="Calibri" w:hAnsi="Calibri"/>
                <w:sz w:val="22"/>
              </w:rPr>
              <w:t>13.9x</w:t>
            </w:r>
          </w:p>
        </w:tc>
        <w:tc>
          <w:tcPr>
            <w:tcW w:type="dxa" w:w="1440"/>
          </w:tcPr>
          <w:p>
            <w:r>
              <w:rPr>
                <w:rFonts w:ascii="Calibri" w:hAnsi="Calibri"/>
                <w:sz w:val="22"/>
              </w:rPr>
              <w:t>9.2x</w:t>
            </w:r>
          </w:p>
        </w:tc>
        <w:tc>
          <w:tcPr>
            <w:tcW w:type="dxa" w:w="1440"/>
          </w:tcPr>
          <w:p>
            <w:r>
              <w:rPr>
                <w:rFonts w:ascii="Calibri" w:hAnsi="Calibri"/>
                <w:sz w:val="22"/>
              </w:rPr>
              <w:t>4.5x</w:t>
            </w:r>
          </w:p>
        </w:tc>
      </w:tr>
      <w:tr>
        <w:tc>
          <w:tcPr>
            <w:tcW w:type="dxa" w:w="1440"/>
          </w:tcPr>
          <w:p>
            <w:r>
              <w:rPr>
                <w:rFonts w:ascii="Calibri" w:hAnsi="Calibri"/>
                <w:sz w:val="22"/>
              </w:rPr>
              <w:t>NTM P/FCF</w:t>
            </w:r>
          </w:p>
        </w:tc>
        <w:tc>
          <w:tcPr>
            <w:tcW w:type="dxa" w:w="1440"/>
          </w:tcPr>
          <w:p>
            <w:r>
              <w:rPr>
                <w:rFonts w:ascii="Calibri" w:hAnsi="Calibri"/>
                <w:sz w:val="22"/>
              </w:rPr>
              <w:t>47.0x</w:t>
            </w:r>
          </w:p>
        </w:tc>
        <w:tc>
          <w:tcPr>
            <w:tcW w:type="dxa" w:w="1440"/>
          </w:tcPr>
          <w:p>
            <w:r>
              <w:rPr>
                <w:rFonts w:ascii="Calibri" w:hAnsi="Calibri"/>
                <w:sz w:val="22"/>
              </w:rPr>
              <w:t>58.9x</w:t>
            </w:r>
          </w:p>
        </w:tc>
        <w:tc>
          <w:tcPr>
            <w:tcW w:type="dxa" w:w="1440"/>
          </w:tcPr>
          <w:p>
            <w:r>
              <w:rPr>
                <w:rFonts w:ascii="Calibri" w:hAnsi="Calibri"/>
                <w:sz w:val="22"/>
              </w:rPr>
              <w:t>64.7x</w:t>
            </w:r>
          </w:p>
        </w:tc>
        <w:tc>
          <w:tcPr>
            <w:tcW w:type="dxa" w:w="1440"/>
          </w:tcPr>
          <w:p>
            <w:r>
              <w:rPr>
                <w:rFonts w:ascii="Calibri" w:hAnsi="Calibri"/>
                <w:sz w:val="22"/>
              </w:rPr>
              <w:t>46.1x</w:t>
            </w:r>
          </w:p>
        </w:tc>
        <w:tc>
          <w:tcPr>
            <w:tcW w:type="dxa" w:w="1440"/>
          </w:tcPr>
          <w:p>
            <w:r>
              <w:rPr>
                <w:rFonts w:ascii="Calibri" w:hAnsi="Calibri"/>
                <w:sz w:val="22"/>
              </w:rPr>
              <w:t>28.0x</w:t>
            </w:r>
          </w:p>
        </w:tc>
      </w:tr>
      <w:tr>
        <w:tc>
          <w:tcPr>
            <w:tcW w:type="dxa" w:w="1440"/>
          </w:tcPr>
          <w:p>
            <w:r>
              <w:rPr>
                <w:rFonts w:ascii="Calibri" w:hAnsi="Calibri"/>
                <w:sz w:val="22"/>
              </w:rPr>
              <w:t>Stock Price</w:t>
            </w:r>
          </w:p>
        </w:tc>
        <w:tc>
          <w:tcPr>
            <w:tcW w:type="dxa" w:w="1440"/>
          </w:tcPr>
          <w:p>
            <w:r>
              <w:rPr>
                <w:rFonts w:ascii="Calibri" w:hAnsi="Calibri"/>
                <w:sz w:val="22"/>
              </w:rPr>
              <w:t>$334.81</w:t>
            </w:r>
          </w:p>
        </w:tc>
        <w:tc>
          <w:tcPr>
            <w:tcW w:type="dxa" w:w="1440"/>
          </w:tcPr>
          <w:p>
            <w:r>
              <w:rPr>
                <w:rFonts w:ascii="Calibri" w:hAnsi="Calibri"/>
                <w:sz w:val="22"/>
              </w:rPr>
              <w:t>~$483 (peak)</w:t>
            </w:r>
          </w:p>
        </w:tc>
        <w:tc>
          <w:tcPr>
            <w:tcW w:type="dxa" w:w="1440"/>
          </w:tcPr>
          <w:p>
            <w:r>
              <w:rPr>
                <w:rFonts w:ascii="Calibri" w:hAnsi="Calibri"/>
                <w:sz w:val="22"/>
              </w:rPr>
              <w:t>~$374</w:t>
            </w:r>
          </w:p>
        </w:tc>
        <w:tc>
          <w:tcPr>
            <w:tcW w:type="dxa" w:w="1440"/>
          </w:tcPr>
          <w:p>
            <w:r>
              <w:rPr>
                <w:rFonts w:ascii="Calibri" w:hAnsi="Calibri"/>
                <w:sz w:val="22"/>
              </w:rPr>
              <w:t>~$229</w:t>
            </w:r>
          </w:p>
        </w:tc>
        <w:tc>
          <w:tcPr>
            <w:tcW w:type="dxa" w:w="1440"/>
          </w:tcPr>
          <w:p>
            <w:r>
              <w:rPr>
                <w:rFonts w:ascii="Calibri" w:hAnsi="Calibri"/>
                <w:sz w:val="22"/>
              </w:rPr>
              <w:t>~$91</w:t>
            </w:r>
          </w:p>
        </w:tc>
      </w:tr>
    </w:tbl>
    <w:p>
      <w:r>
        <w:rPr>
          <w:rFonts w:ascii="Calibri" w:hAnsi="Calibri"/>
          <w:color w:val="525866"/>
          <w:sz w:val="22"/>
        </w:rPr>
        <w:t>Source: Stock Performance Decomposition Data. NTM multiples as of July 27, 2026. Historical multiples derived from price performance and valuation decomposition analysis.</w:t>
      </w:r>
    </w:p>
    <w:p>
      <w:r>
        <w:rPr>
          <w:rFonts w:ascii="Calibri" w:hAnsi="Calibri"/>
          <w:b/>
          <w:color w:val="525866"/>
          <w:sz w:val="22"/>
        </w:rPr>
        <w:t xml:space="preserve">Note on 12-month performance: </w:t>
      </w:r>
      <w:r>
        <w:rPr>
          <w:rFonts w:ascii="Calibri" w:hAnsi="Calibri"/>
          <w:color w:val="525866"/>
          <w:sz w:val="22"/>
        </w:rPr>
        <w:t>TER is up +267% over the trailing 12 months, driven by a combination of ~76% multiple expansion (NTM EV/EBITDA from 16.6x to 29.2x) and strong earnings growth. The 3-month and 1-month periods show the reversal: the stock is down ~20% and ~29% respectively, driven almost entirely by multiple compression with estimates essentially unchanged. This decomposition confirms the de-rating is sentiment/macro-driven, not fundamental.</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