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ko-earnings-predictions--2026-08-03"/>
    <w:p>
      <w:pPr>
        <w:pStyle w:val="Heading1"/>
      </w:pPr>
      <w:r>
        <w:t xml:space="preserve">TKO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625M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5.75</m:t>
              </m:r>
              <m:r>
                <m:rPr>
                  <m:sty m:val="p"/>
                </m:rPr>
                <m:t>−</m:t>
              </m:r>
              <m:r>
                <m:t>5.85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5.73B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2.29</m:t>
              </m:r>
              <m:r>
                <m:rPr>
                  <m:sty m:val="p"/>
                </m:rPr>
                <m:t>−</m:t>
              </m:r>
              <m:r>
                <m:t>2.34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2.27B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WWE segment Adj. EBITDA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~57-59% vs. cons ~56%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/ buyback pace (new $1B authorization)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200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t>n</m:t>
              </m:r>
              <m:r>
                <m:t>e</m:t>
              </m:r>
              <m:r>
                <m:t>a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t>10</m:t>
              </m:r>
              <m:r>
                <m:t>b</m:t>
              </m:r>
              <m:r>
                <m:t>5</m:t>
              </m:r>
              <m:r>
                <m:rPr>
                  <m:sty m:val="p"/>
                </m:rPr>
                <m:t>−</m:t>
              </m:r>
              <m:r>
                <m:t>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100M (H2'26)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On Location FIFA World Cup 26 hospitality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&gt;2x prior program vs. cons ~1.5x (FY2026, Q3-weighted)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Washed-out positioning (stock ~$182, -9% YTD, near 52wk-area lows) plus a clean contracted beat and a modest FY guide raise pull estimates UP rather than down; aggressive buyback under the new $1B authorization at dislocated prices provides a bid, and Q3 World Cup revenue recognition keeps the out-period math constructive, favoring continuation over fade. Risk is a simple reaffirm (good news already known), which would cap upside.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2026-08-03T00:20:17Z</dcterms:created>
  <dcterms:modified xsi:type="dcterms:W3CDTF">2026-08-03T00:20:17Z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