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06d081b55f076e0e5a5d040a6b037e44a2ae7bf"/>
    <w:p>
      <w:pPr>
        <w:pStyle w:val="Heading1"/>
      </w:pPr>
      <w:r>
        <w:t xml:space="preserve">TKO Group Holdings (TKO) — Q2 2026 Earnings Preview</w:t>
      </w:r>
    </w:p>
    <w:p>
      <w:pPr>
        <w:pStyle w:val="FirstParagraph"/>
      </w:pPr>
      <w:r>
        <w:rPr>
          <w:b/>
          <w:bCs/>
        </w:rPr>
        <w:t xml:space="preserve">Report Date: Monday, August 3, 2026 (after market close) | Ticker: NYSE: TKO</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TKO heads into tomorrow's print with the stock well off its 2026 highs. Shares have pulled back from a late-June peak near $216 to roughly $182 currently, and one tracker noted the stock price fell by -1.09% on the last trading day before the print, closing at $181.81, with a 52-week high of $226.92 and low of $152.29. A recent note on the sell-off attributed it less to operating news and more to sentiment: the move appears tied more to risk reassessment than to a new operating setback, with investors weighing TKO's ongoing UFC and WWE litigation exposure while the stock lacks a fresh positive catalyst after recent earnings, buyback, and dividend announcements. Notably, that same analysis pointed out the disconnect with fundamentals: TKO's latest quarterly report showed strong first-quarter 2026 growth, with revenue rising to $1.597 billion and adjusted EBITDA increasing to $549.8 million, so the decline does not appear to be driven by weak reported results.</w:t>
      </w:r>
    </w:p>
    <w:p>
      <w:pPr>
        <w:pStyle w:val="BodyText"/>
      </w:pPr>
      <w:r>
        <w:t xml:space="preserve">Wall Street remains broadly bullish despite the pullback. Sell-side sentiment is skewed positive, with an overall "Strong Buy" rating among 24 analysts covering the stock, 17 recommending "Strong Buy," one "Moderate Buy," and six suggesting "Hold," and a mean price target of $229.90, implying about 24% upside. That said, valuation bears flag the multiple — one recent piece noted TKO currently trades on a P/E of 78.75x, versus an Entertainment industry average of about 37.53x.</w:t>
      </w:r>
    </w:p>
    <w:bookmarkEnd w:id="9"/>
    <w:bookmarkStart w:id="10" w:name="X935f7378ea605017815b6de2138f920fa11cbf6"/>
    <w:p>
      <w:pPr>
        <w:pStyle w:val="Heading2"/>
      </w:pPr>
      <w:r>
        <w:t xml:space="preserve">Q1 2026 Recap — The Baseline Investors Are Building From</w:t>
      </w:r>
    </w:p>
    <w:p>
      <w:pPr>
        <w:pStyle w:val="FirstParagraph"/>
      </w:pPr>
      <w:r>
        <w:t xml:space="preserve">TKO's first quarter set a high bar. Revenue grew 26% to $1.597 billion and Adjusted EBITDA rose 32% to $549.8 million, with margin expanding roughly 150bps to 34%. All three growth drivers — media rights, live events/financial incentive packages (FIPs), and global partnerships — delivered in line with plan, and management reaffirmed full-year 2026 guidance of $5.675–5.775 billion in revenue and $2.24–2.29 billion in Adjusted EBITDA, implying ~21% revenue growth and ~43% EBITDA growth with ~600bps of margin expansion. The board also authorized an incremental $1 billion of share repurchases on top of the existing $2 billion program.</w:t>
      </w:r>
    </w:p>
    <w:p>
      <w:pPr>
        <w:pStyle w:val="BodyText"/>
      </w:pPr>
      <w:r>
        <w:t xml:space="preserve">CFO Andrew Schleimer specifically framed the second quarter as the seasonal high point: WWE was expected to post "by far the highest revenue and adjusted EBITDA quarter of the year" given WrestleMania 42 (which fell in Q2) and a Saudi-based premium live event, while UFC would see continued step-ups from the new Paramount deal and stage UFC Freedom 250 at the White House — a marquee promotional event but one management explicitly guided would lose ~$30 million given expenses far exceeding limited sellable partner inventory.</w:t>
      </w:r>
    </w:p>
    <w:bookmarkEnd w:id="10"/>
    <w:bookmarkStart w:id="11" w:name="Xea7e4dec182f6086debbffbb23bd1e4fa70f287"/>
    <w:p>
      <w:pPr>
        <w:pStyle w:val="Heading2"/>
      </w:pPr>
      <w:r>
        <w:t xml:space="preserve">What Actually Happened in Q2 — Key Swing Factors</w:t>
      </w:r>
    </w:p>
    <w:p>
      <w:pPr>
        <w:pStyle w:val="Compact"/>
        <w:numPr>
          <w:ilvl w:val="0"/>
          <w:numId w:val="1001"/>
        </w:numPr>
      </w:pPr>
      <w:r>
        <w:rPr>
          <w:b/>
          <w:bCs/>
        </w:rPr>
        <w:t xml:space="preserve">UFC Freedom 250 at the White House (June 14):</w:t>
      </w:r>
      <w:r>
        <w:t xml:space="preserve"> </w:t>
      </w:r>
      <w:r>
        <w:t xml:space="preserve">The historic South Lawn event delivered strong brand exposure — reportedly broadcast exclusively on Paramount+, with a reported average of 8.2 million viewers, at least 17 million unique viewers in the U.S. and Latin America, and 34 million viewers worldwide, making it the most-watched exclusive live event on Paramount+ as of June 2026. However, the financial framing management gave (~$30 million loss, no profit intent, sponsorship-driven cost recoupment) should still weigh on UFC segment margin in the reported quarter.</w:t>
      </w:r>
    </w:p>
    <w:p>
      <w:pPr>
        <w:pStyle w:val="Compact"/>
        <w:numPr>
          <w:ilvl w:val="0"/>
          <w:numId w:val="1001"/>
        </w:numPr>
      </w:pPr>
      <w:r>
        <w:rPr>
          <w:b/>
          <w:bCs/>
        </w:rPr>
        <w:t xml:space="preserve">WrestleMania 42 (April):</w:t>
      </w:r>
      <w:r>
        <w:t xml:space="preserve"> </w:t>
      </w:r>
      <w:r>
        <w:t xml:space="preserve">Falls within fiscal Q2 and was called out on the Q1 call as a highly profitable event with record partner counts (32) and financial incentive package economics ahead of last year — a tailwind for WWE segment margin.</w:t>
      </w:r>
    </w:p>
    <w:p>
      <w:pPr>
        <w:pStyle w:val="Compact"/>
        <w:numPr>
          <w:ilvl w:val="0"/>
          <w:numId w:val="1001"/>
        </w:numPr>
      </w:pPr>
      <w:r>
        <w:rPr>
          <w:b/>
          <w:bCs/>
        </w:rPr>
        <w:t xml:space="preserve">Middle East slate:</w:t>
      </w:r>
      <w:r>
        <w:t xml:space="preserve"> </w:t>
      </w:r>
      <w:r>
        <w:t xml:space="preserve">WWE's Night of Champions (Riyadh) and UFC Fight Night Baku both occurred June 27, both carrying financial incentive packages; management repeatedly stressed no consumer pullback and unwavering Saudi partner commitment despite regional geopolitical noise.</w:t>
      </w:r>
    </w:p>
    <w:p>
      <w:pPr>
        <w:pStyle w:val="Compact"/>
        <w:numPr>
          <w:ilvl w:val="0"/>
          <w:numId w:val="1001"/>
        </w:numPr>
      </w:pPr>
      <w:r>
        <w:rPr>
          <w:b/>
          <w:bCs/>
        </w:rPr>
        <w:t xml:space="preserve">FIFA World Cup 2026:</w:t>
      </w:r>
      <w:r>
        <w:t xml:space="preserve"> </w:t>
      </w:r>
      <w:r>
        <w:t xml:space="preserve">Started June 11, giving On Location/IMG a meaningful hospitality tailwind that should continue into Q3 as well.</w:t>
      </w:r>
    </w:p>
    <w:p>
      <w:pPr>
        <w:pStyle w:val="Compact"/>
        <w:numPr>
          <w:ilvl w:val="0"/>
          <w:numId w:val="1001"/>
        </w:numPr>
      </w:pPr>
      <w:r>
        <w:rPr>
          <w:b/>
          <w:bCs/>
        </w:rPr>
        <w:t xml:space="preserve">Paramount-Skydance/Warner Bros. Discovery merger:</w:t>
      </w:r>
      <w:r>
        <w:t xml:space="preserve"> </w:t>
      </w:r>
      <w:r>
        <w:t xml:space="preserve">Remains a background wildcard. The transaction has cleared shareholder votes but faces antitrust litigation; TKO CEO Ari Emanuel has publicly defended it — TKO Group Holdings CEO Ari Emanuel came out strongly in support of a merger between Paramount-Skydance and Warner Bros. Discovery... penning an op-ed in the Wall Street Journal arguing against the state AG antitrust suit. Given TKO is currently under a seven-year, $7.7 billion deal to present UFC events on Paramount, any commentary on deal progress and incremental platform/monetization opportunity (management has floated a "combat sports super app" concept) is worth watching for on the call.</w:t>
      </w:r>
    </w:p>
    <w:p>
      <w:pPr>
        <w:pStyle w:val="Compact"/>
        <w:numPr>
          <w:ilvl w:val="0"/>
          <w:numId w:val="1001"/>
        </w:numPr>
      </w:pPr>
      <w:r>
        <w:rPr>
          <w:b/>
          <w:bCs/>
        </w:rPr>
        <w:t xml:space="preserve">WWE creative/demand chatter:</w:t>
      </w:r>
      <w:r>
        <w:t xml:space="preserve"> </w:t>
      </w:r>
      <w:r>
        <w:t xml:space="preserve">Just days before earnings, WWE's SummerSlam (Aug 1–2, Minneapolis) drew scrutiny over ticket pricing and attendance — one report noted the final ticket sale numbers for SummerSlam 2026 have done just that... 35,759 were in attendance for SummerSlam Saturday, with 499 tickets still available, and separately flagged night two shortfalls versus last year's stadium show. While SummerSlam itself lands in Q3, not Q2, it reinforces the "fan fatigue/ticket pricing" debate management pushed back on during the Q1 call, and could resurface in Q&amp;A.</w:t>
      </w:r>
    </w:p>
    <w:bookmarkEnd w:id="11"/>
    <w:bookmarkStart w:id="12" w:name="what-wall-street-is-modeling"/>
    <w:p>
      <w:pPr>
        <w:pStyle w:val="Heading2"/>
      </w:pPr>
      <w:r>
        <w:t xml:space="preserve">What Wall Street Is Modeling</w:t>
      </w:r>
    </w:p>
    <w:p>
      <w:pPr>
        <w:pStyle w:val="FirstParagraph"/>
      </w:pPr>
      <w:r>
        <w:t xml:space="preserve">Estimates vary somewhat by data provider, underscoring some uncertainty into the print:</w:t>
      </w:r>
    </w:p>
    <w:p>
      <w:pPr>
        <w:pStyle w:val="Compact"/>
        <w:numPr>
          <w:ilvl w:val="0"/>
          <w:numId w:val="1002"/>
        </w:numPr>
      </w:pPr>
      <w:r>
        <w:t xml:space="preserve">Analysts expect TKO to report a profit of $1.72 per share, up 47% from $1.17 per share in the year-ago quarter, with full-year 2026 EPS expected at $4.94, representing a 115.7% increase from $2.29 in fiscal 2025.</w:t>
      </w:r>
    </w:p>
    <w:p>
      <w:pPr>
        <w:pStyle w:val="Compact"/>
        <w:numPr>
          <w:ilvl w:val="0"/>
          <w:numId w:val="1002"/>
        </w:numPr>
      </w:pPr>
      <w:r>
        <w:t xml:space="preserve">A separate estimate service pegs the quarter lower: the consensus estimate for Q2 2026 revenue is $1,534.36 million, and earnings are expected to come in at $1.32 per share, while full-year 2026 revenue is seen near $5,794 million.</w:t>
      </w:r>
    </w:p>
    <w:p>
      <w:pPr>
        <w:pStyle w:val="Compact"/>
        <w:numPr>
          <w:ilvl w:val="0"/>
          <w:numId w:val="1002"/>
        </w:numPr>
      </w:pPr>
      <w:r>
        <w:t xml:space="preserve">Notably, that same source flagged a wide swing in full-year EPS estimates: earnings estimates for TKO Group Holdings for the full year 2026 have declined from $5.32 per share to $4.09 per share... over the past 90 days, even as revenue estimates ticked slightly higher — a sign the Street has been dialing back bottom-line expectations even while topline confidence holds.</w:t>
      </w:r>
    </w:p>
    <w:p>
      <w:pPr>
        <w:pStyle w:val="Compact"/>
        <w:numPr>
          <w:ilvl w:val="0"/>
          <w:numId w:val="1002"/>
        </w:numPr>
      </w:pPr>
      <w:r>
        <w:t xml:space="preserve">Track record context: in Q1, TKO's actual revenue of $1,596.90 million beat analysts' expectations by 0.30%, but actual EPS of $1.12 missed expectations of $1.19 by -6.20%, and the company has missed Wall Street's bottom-line estimates in three of the last four quarters, while surpassing on another occasion — a pattern worth remembering given adjusted EBITDA (not GAAP EPS) is management's primary internal benchmark.</w:t>
      </w:r>
    </w:p>
    <w:bookmarkEnd w:id="12"/>
    <w:bookmarkStart w:id="13" w:name="X5911a220ce262e5ac3449f4d4e12767cb1820b6"/>
    <w:p>
      <w:pPr>
        <w:pStyle w:val="Heading2"/>
      </w:pPr>
      <w:r>
        <w:t xml:space="preserve">Capital Returns &amp; Balance Sheet — A Consistent Bright Spot</w:t>
      </w:r>
    </w:p>
    <w:p>
      <w:pPr>
        <w:pStyle w:val="FirstParagraph"/>
      </w:pPr>
      <w:r>
        <w:t xml:space="preserve">TKO entered Q2 with considerable capital-return momentum: an $800 million ASR launched in March, a follow-on $200 million 10b5-1 plan, and a fresh $1 billion authorization from the May Q1 call (on top of the pre-existing $2 billion program). That ASR appears to have run its course during the quarter: on June 30, TKO Group completed its $800 million accelerated share repurchase program, buying back approximately 4.17 million Class A shares, with the company noting the move reflects confidence in its business outlook and reinforces its disciplined capital allocation strategy alongside its quarterly dividend and ongoing $200 million 10b5-1 share repurchase plan, which is set to run through August 31, 2026. Investors should watch for confirmation of buyback pace, updated leverage (2.3x net debt/EBITDA exiting Q1, with management comfortable operating even higher given the natural deleveraging trajectory), and any additional draw on the new $1 billion authorization.</w:t>
      </w:r>
    </w:p>
    <w:bookmarkEnd w:id="13"/>
    <w:bookmarkStart w:id="14" w:name="key-questions-for-the-call"/>
    <w:p>
      <w:pPr>
        <w:pStyle w:val="Heading2"/>
      </w:pPr>
      <w:r>
        <w:t xml:space="preserve">Key Questions for the Call</w:t>
      </w:r>
    </w:p>
    <w:p>
      <w:pPr>
        <w:pStyle w:val="Compact"/>
        <w:numPr>
          <w:ilvl w:val="0"/>
          <w:numId w:val="1003"/>
        </w:numPr>
      </w:pPr>
      <w:r>
        <w:rPr>
          <w:b/>
          <w:bCs/>
        </w:rPr>
        <w:t xml:space="preserve">Guidance reaffirmation:</w:t>
      </w:r>
      <w:r>
        <w:t xml:space="preserve"> </w:t>
      </w:r>
      <w:r>
        <w:t xml:space="preserve">Does management reiterate full-year revenue (</w:t>
      </w:r>
      <m:oMath>
        <m:r>
          <m:t>5.675</m:t>
        </m:r>
        <m:r>
          <m:rPr>
            <m:sty m:val="p"/>
          </m:rPr>
          <m:t>–</m:t>
        </m:r>
        <m:r>
          <m:t>5.775</m:t>
        </m:r>
        <m:r>
          <m:t>B</m:t>
        </m:r>
        <m:r>
          <m:rPr>
            <m:sty m:val="p"/>
          </m:rPr>
          <m:t>)</m:t>
        </m:r>
        <m:r>
          <m:t>a</m:t>
        </m:r>
        <m:r>
          <m:t>n</m:t>
        </m:r>
        <m:r>
          <m:t>d</m:t>
        </m:r>
        <m:r>
          <m:t>A</m:t>
        </m:r>
        <m:r>
          <m:t>d</m:t>
        </m:r>
        <m:r>
          <m:t>j</m:t>
        </m:r>
        <m:r>
          <m:t>u</m:t>
        </m:r>
        <m:r>
          <m:t>s</m:t>
        </m:r>
        <m:r>
          <m:t>t</m:t>
        </m:r>
        <m:r>
          <m:t>e</m:t>
        </m:r>
        <m:r>
          <m:t>d</m:t>
        </m:r>
        <m:r>
          <m:t>E</m:t>
        </m:r>
        <m:r>
          <m:t>B</m:t>
        </m:r>
        <m:r>
          <m:t>I</m:t>
        </m:r>
        <m:r>
          <m:t>T</m:t>
        </m:r>
        <m:r>
          <m:t>D</m:t>
        </m:r>
        <m:r>
          <m:t>A</m:t>
        </m:r>
        <m:r>
          <m:rPr>
            <m:sty m:val="p"/>
          </m:rPr>
          <m:t>(</m:t>
        </m:r>
      </m:oMath>
      <w:r>
        <w:t xml:space="preserve">2.24–2.29B) guidance despite the Freedom 250 cost overhang and Middle East event execution risk?</w:t>
      </w:r>
    </w:p>
    <w:p>
      <w:pPr>
        <w:pStyle w:val="Compact"/>
        <w:numPr>
          <w:ilvl w:val="0"/>
          <w:numId w:val="1003"/>
        </w:numPr>
      </w:pPr>
      <w:r>
        <w:rPr>
          <w:b/>
          <w:bCs/>
        </w:rPr>
        <w:t xml:space="preserve">Segment margins:</w:t>
      </w:r>
      <w:r>
        <w:t xml:space="preserve"> </w:t>
      </w:r>
      <w:r>
        <w:t xml:space="preserve">UFC margin (63% in Q1) should benefit from Paramount step-ups but absorb the Freedom 250 loss; WWE margin (54% in Q1, up from 50%) should get a lift from WrestleMania profitability — did both segments deliver the "meaningful" full-year margin improvement management promised?</w:t>
      </w:r>
    </w:p>
    <w:p>
      <w:pPr>
        <w:pStyle w:val="Compact"/>
        <w:numPr>
          <w:ilvl w:val="0"/>
          <w:numId w:val="1003"/>
        </w:numPr>
      </w:pPr>
      <w:r>
        <w:rPr>
          <w:b/>
          <w:bCs/>
        </w:rPr>
        <w:t xml:space="preserve">Free cash flow:</w:t>
      </w:r>
      <w:r>
        <w:t xml:space="preserve"> </w:t>
      </w:r>
      <w:r>
        <w:t xml:space="preserve">Q2 typically carries different working-capital dynamics than Q1's World-Cup-inflated $674.5 million FCF figure — does management reaffirm its &gt;60% normalized FCF conversion target?</w:t>
      </w:r>
    </w:p>
    <w:p>
      <w:pPr>
        <w:pStyle w:val="Compact"/>
        <w:numPr>
          <w:ilvl w:val="0"/>
          <w:numId w:val="1003"/>
        </w:numPr>
      </w:pPr>
      <w:r>
        <w:rPr>
          <w:b/>
          <w:bCs/>
        </w:rPr>
        <w:t xml:space="preserve">Paramount-Skydance/WBD:</w:t>
      </w:r>
      <w:r>
        <w:t xml:space="preserve"> </w:t>
      </w:r>
      <w:r>
        <w:t xml:space="preserve">Any update on deal timing, antitrust litigation resolution, and incremental monetization opportunity for UFC/Zuffa Boxing.</w:t>
      </w:r>
    </w:p>
    <w:p>
      <w:pPr>
        <w:pStyle w:val="Compact"/>
        <w:numPr>
          <w:ilvl w:val="0"/>
          <w:numId w:val="1003"/>
        </w:numPr>
      </w:pPr>
      <w:r>
        <w:rPr>
          <w:b/>
          <w:bCs/>
        </w:rPr>
        <w:t xml:space="preserve">WWE demand narrative:</w:t>
      </w:r>
      <w:r>
        <w:t xml:space="preserve"> </w:t>
      </w:r>
      <w:r>
        <w:t xml:space="preserve">Following renewed ticket-pricing/attendance criticism around SummerSlam, does management again defend the health of the fan base and pricing/FIP strategy, as it did forcefully on the Q1 call?</w:t>
      </w:r>
    </w:p>
    <w:p>
      <w:pPr>
        <w:pStyle w:val="Compact"/>
        <w:numPr>
          <w:ilvl w:val="0"/>
          <w:numId w:val="1003"/>
        </w:numPr>
      </w:pPr>
      <w:r>
        <w:rPr>
          <w:b/>
          <w:bCs/>
        </w:rPr>
        <w:t xml:space="preserve">Zuffa Boxing and PBR:</w:t>
      </w:r>
      <w:r>
        <w:t xml:space="preserve"> </w:t>
      </w:r>
      <w:r>
        <w:t xml:space="preserve">Both were highlighted as ahead of internal plan in Q1 (100+ fighters signed, Sky Sports UK/Ireland deal, PBR team expansion to 12 franchises) — look for updated monetization/timeline commentary.</w:t>
      </w:r>
    </w:p>
    <w:p>
      <w:pPr>
        <w:pStyle w:val="Compact"/>
        <w:numPr>
          <w:ilvl w:val="0"/>
          <w:numId w:val="1003"/>
        </w:numPr>
      </w:pPr>
      <w:r>
        <w:rPr>
          <w:b/>
          <w:bCs/>
        </w:rPr>
        <w:t xml:space="preserve">Litigation overhang:</w:t>
      </w:r>
      <w:r>
        <w:t xml:space="preserve"> </w:t>
      </w:r>
      <w:r>
        <w:t xml:space="preserve">Any update on UFC antitrust settlement costs or WWE/Endeavor stockholder litigation, which have been a drag on "certain legal costs" add-backs and, per recent commentary, a factor in stock weakness.</w:t>
      </w:r>
    </w:p>
    <w:bookmarkEnd w:id="14"/>
    <w:bookmarkStart w:id="15" w:name="bottom-line"/>
    <w:p>
      <w:pPr>
        <w:pStyle w:val="Heading2"/>
      </w:pPr>
      <w:r>
        <w:t xml:space="preserve">Bottom Line</w:t>
      </w:r>
    </w:p>
    <w:p>
      <w:pPr>
        <w:pStyle w:val="FirstParagraph"/>
      </w:pPr>
      <w:r>
        <w:t xml:space="preserve">TKO's underlying growth algorithm — contracted, escalator-driven media rights (Paramount, ESPN, Netflix, CW), a rich live-events/FIP pipeline, and an increasingly diversified portfolio (Zuffa Boxing, PBR, IMG/On Location) — remains intact based on Q1's trajectory and management's repeated reaffirmation of aggressive FY26 targets. The stock's ~15%+ pullback since late June appears driven more by sentiment (litigation overhang, valuation, WWE creative/ticket-price criticism, macro/Middle East jitters) than by a change in fundamentals. Tomorrow's print is less about whether the growth story is real — analysts still broadly rate the stock a buy with meaningful upside to price targets — and more about whether management can reaffirm guidance cleanly despite a costly White House spectacle, keep capital-return momentum visible, and successfully address the renewed "fan fatigue" narrative that has resurfaced just as the quarter closes.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2026-08-03T00:22:24Z</dcterms:created>
  <dcterms:modified xsi:type="dcterms:W3CDTF">2026-08-03T00:22:24Z</dcterms:modified>
</cp:coreProperties>
</file>

<file path=docProps/custom.xml><?xml version="1.0" encoding="utf-8"?>
<Properties xmlns="http://schemas.openxmlformats.org/officeDocument/2006/custom-properties" xmlns:vt="http://schemas.openxmlformats.org/officeDocument/2006/docPropsVTypes"/>
</file>