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ko-earnings-predictions--2026-08-03"/>
    <w:p>
      <w:pPr>
        <w:pStyle w:val="Heading1"/>
      </w:pPr>
      <w:r>
        <w:t xml:space="preserve">TKO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~$1.560B vs. cons $1.548B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~$652M vs. cons $640M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WWE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~$395M vs. cons $387M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revenue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~$5.800B vs. cons $5.794B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adjusted EBITDA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~$2.290B vs. cons $2.285B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+1.6% (FADE)</w:t>
            </w:r>
          </w:p>
        </w:tc>
        <w:tc>
          <w:tcPr/>
          <w:p>
            <w:pPr>
              <w:pStyle w:val="Compact"/>
            </w:pPr>
            <w:r>
              <w:t xml:space="preserve">A WWE-led EBITDA beat should drive the initial gain, but only a marginal FY2026 guidance increase versus consensus leaves limited room for out-period estimate revisions; UFC event mix, LA28 spending and World Cup working-capital complexity should cause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2026-08-03T00:21:04Z</dcterms:created>
  <dcterms:modified xsi:type="dcterms:W3CDTF">2026-08-03T00:21:04Z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