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9" w:name="tko-earnings-predictions--2026-08-03"/>
    <w:p>
      <w:pPr>
        <w:pStyle w:val="Heading1"/>
      </w:pPr>
      <w:r>
        <w:t xml:space="preserve">TKO Earnings Predictions — 2026-08-03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Ticker</w:t>
            </w:r>
          </w:p>
        </w:tc>
        <w:tc>
          <w:tcPr/>
          <w:p>
            <w:pPr>
              <w:pStyle w:val="Compact"/>
            </w:pPr>
            <w:r>
              <w:t xml:space="preserve">Report or Guide</w:t>
            </w:r>
          </w:p>
        </w:tc>
        <w:tc>
          <w:tcPr/>
          <w:p>
            <w:pPr>
              <w:pStyle w:val="Compact"/>
            </w:pPr>
            <w:r>
              <w:t xml:space="preserve">KPI</w:t>
            </w:r>
          </w:p>
        </w:tc>
        <w:tc>
          <w:tcPr/>
          <w:p>
            <w:pPr>
              <w:pStyle w:val="Compact"/>
            </w:pPr>
            <w:r>
              <w:t xml:space="preserve">Prediction</w:t>
            </w:r>
          </w:p>
        </w:tc>
        <w:tc>
          <w:tcPr/>
          <w:p>
            <w:pPr>
              <w:pStyle w:val="Compact"/>
            </w:pPr>
            <w: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Confidence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TKO</w:t>
            </w:r>
          </w:p>
        </w:tc>
        <w:tc>
          <w:tcPr/>
          <w:p>
            <w:pPr>
              <w:pStyle w:val="Compact"/>
            </w:pPr>
            <w:r>
              <w:t xml:space="preserve">Report</w:t>
            </w:r>
          </w:p>
        </w:tc>
        <w:tc>
          <w:tcPr/>
          <w:p>
            <w:pPr>
              <w:pStyle w:val="Compact"/>
            </w:pPr>
            <w:r>
              <w:t xml:space="preserve">Diluted EPS</w:t>
            </w:r>
          </w:p>
        </w:tc>
        <w:tc>
          <w:tcPr/>
          <w:p>
            <w:pPr>
              <w:pStyle w:val="Compact"/>
            </w:pPr>
            <w:r>
              <w:t xml:space="preserve">BEAT</w:t>
            </w:r>
          </w:p>
        </w:tc>
        <w:tc>
          <w:tcPr/>
          <w:p>
            <w:pPr>
              <w:pStyle w:val="Compact"/>
            </w:pPr>
            <w:r>
              <w:t xml:space="preserve">pred ~$1.82 vs. cons $1.72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  <w:tr>
        <w:tc>
          <w:tcPr/>
          <w:p>
            <w:pPr>
              <w:pStyle w:val="Compact"/>
            </w:pPr>
            <w:r>
              <w:t xml:space="preserve">TKO</w:t>
            </w:r>
          </w:p>
        </w:tc>
        <w:tc>
          <w:tcPr/>
          <w:p>
            <w:pPr>
              <w:pStyle w:val="Compact"/>
            </w:pPr>
            <w:r>
              <w:t xml:space="preserve">Report</w:t>
            </w:r>
          </w:p>
        </w:tc>
        <w:tc>
          <w:tcPr/>
          <w:p>
            <w:pPr>
              <w:pStyle w:val="Compact"/>
            </w:pPr>
            <w:r>
              <w:t xml:space="preserve">Revenue</w:t>
            </w:r>
          </w:p>
        </w:tc>
        <w:tc>
          <w:tcPr/>
          <w:p>
            <w:pPr>
              <w:pStyle w:val="Compact"/>
            </w:pPr>
            <w:r>
              <w:t xml:space="preserve">BEAT</w:t>
            </w:r>
          </w:p>
        </w:tc>
        <w:tc>
          <w:tcPr/>
          <w:p>
            <w:pPr>
              <w:pStyle w:val="Compact"/>
            </w:pPr>
            <w:r>
              <w:t xml:space="preserve">pred ~$1.76B vs. cons $1.54B</w:t>
            </w:r>
          </w:p>
        </w:tc>
        <w:tc>
          <w:tcPr/>
          <w:p>
            <w:pPr>
              <w:pStyle w:val="Compact"/>
            </w:pPr>
            <w:r>
              <w:t xml:space="preserve">HIGH</w:t>
            </w:r>
          </w:p>
        </w:tc>
      </w:tr>
      <w:tr>
        <w:tc>
          <w:tcPr/>
          <w:p>
            <w:pPr>
              <w:pStyle w:val="Compact"/>
            </w:pPr>
            <w:r>
              <w:t xml:space="preserve">TKO</w:t>
            </w:r>
          </w:p>
        </w:tc>
        <w:tc>
          <w:tcPr/>
          <w:p>
            <w:pPr>
              <w:pStyle w:val="Compact"/>
            </w:pPr>
            <w:r>
              <w:t xml:space="preserve">Report</w:t>
            </w:r>
          </w:p>
        </w:tc>
        <w:tc>
          <w:tcPr/>
          <w:p>
            <w:pPr>
              <w:pStyle w:val="Compact"/>
            </w:pPr>
            <w:r>
              <w:t xml:space="preserve">Adjusted EBITDA</w:t>
            </w:r>
          </w:p>
        </w:tc>
        <w:tc>
          <w:tcPr/>
          <w:p>
            <w:pPr>
              <w:pStyle w:val="Compact"/>
            </w:pPr>
            <w:r>
              <w:t xml:space="preserve">BEAT</w:t>
            </w:r>
          </w:p>
        </w:tc>
        <w:tc>
          <w:tcPr/>
          <w:p>
            <w:pPr>
              <w:pStyle w:val="Compact"/>
            </w:pPr>
            <w:r>
              <w:t xml:space="preserve">pred ~$690M vs. cons $660M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  <w:tr>
        <w:tc>
          <w:tcPr/>
          <w:p>
            <w:pPr>
              <w:pStyle w:val="Compact"/>
            </w:pPr>
            <w:r>
              <w:t xml:space="preserve">TKO</w:t>
            </w:r>
          </w:p>
        </w:tc>
        <w:tc>
          <w:tcPr/>
          <w:p>
            <w:pPr>
              <w:pStyle w:val="Compact"/>
            </w:pPr>
            <w:r>
              <w:t xml:space="preserve">Guide</w:t>
            </w:r>
          </w:p>
        </w:tc>
        <w:tc>
          <w:tcPr/>
          <w:p>
            <w:pPr>
              <w:pStyle w:val="Compact"/>
            </w:pPr>
            <w:r>
              <w:t xml:space="preserve">Full-year revenue guidance</w:t>
            </w:r>
          </w:p>
        </w:tc>
        <w:tc>
          <w:tcPr/>
          <w:p>
            <w:pPr>
              <w:pStyle w:val="Compact"/>
            </w:pPr>
            <w:r>
              <w:t xml:space="preserve">UNCHANGED</w:t>
            </w:r>
          </w:p>
        </w:tc>
        <w:tc>
          <w:tcPr/>
          <w:p>
            <w:pPr>
              <w:pStyle w:val="Compact"/>
            </w:pPr>
            <w:r>
              <w:t xml:space="preserve">guide ~$5.725B vs. cons $5.725B (FY2026)</w:t>
            </w:r>
          </w:p>
        </w:tc>
        <w:tc>
          <w:tcPr/>
          <w:p>
            <w:pPr>
              <w:pStyle w:val="Compact"/>
            </w:pPr>
            <w:r>
              <w:t xml:space="preserve">HIGH</w:t>
            </w:r>
          </w:p>
        </w:tc>
      </w:tr>
      <w:tr>
        <w:tc>
          <w:tcPr/>
          <w:p>
            <w:pPr>
              <w:pStyle w:val="Compact"/>
            </w:pPr>
            <w:r>
              <w:t xml:space="preserve">TKO</w:t>
            </w:r>
          </w:p>
        </w:tc>
        <w:tc>
          <w:tcPr/>
          <w:p>
            <w:pPr>
              <w:pStyle w:val="Compact"/>
            </w:pPr>
            <w:r>
              <w:t xml:space="preserve">Guide</w:t>
            </w:r>
          </w:p>
        </w:tc>
        <w:tc>
          <w:tcPr/>
          <w:p>
            <w:pPr>
              <w:pStyle w:val="Compact"/>
            </w:pPr>
            <w:r>
              <w:t xml:space="preserve">Full-year Adjusted EBITDA guidance</w:t>
            </w:r>
          </w:p>
        </w:tc>
        <w:tc>
          <w:tcPr/>
          <w:p>
            <w:pPr>
              <w:pStyle w:val="Compact"/>
            </w:pPr>
            <w:r>
              <w:t xml:space="preserve">UNCHANGED</w:t>
            </w:r>
          </w:p>
        </w:tc>
        <w:tc>
          <w:tcPr/>
          <w:p>
            <w:pPr>
              <w:pStyle w:val="Compact"/>
            </w:pPr>
            <w:r>
              <w:t xml:space="preserve">guide ~$2.265B vs. cons $2.265B (FY2026)</w:t>
            </w:r>
          </w:p>
        </w:tc>
        <w:tc>
          <w:tcPr/>
          <w:p>
            <w:pPr>
              <w:pStyle w:val="Compact"/>
            </w:pPr>
            <w:r>
              <w:t xml:space="preserve">HIGH</w:t>
            </w:r>
          </w:p>
        </w:tc>
      </w:tr>
      <w:tr>
        <w:tc>
          <w:tcPr/>
          <w:p>
            <w:pPr>
              <w:pStyle w:val="Compact"/>
            </w:pPr>
            <w:r>
              <w:t xml:space="preserve">TKO</w:t>
            </w:r>
          </w:p>
        </w:tc>
        <w:tc>
          <w:tcPr/>
          <w:p>
            <w:pPr>
              <w:pStyle w:val="Compact"/>
            </w:pPr>
            <w:r>
              <w:t xml:space="preserve">Guide</w:t>
            </w:r>
          </w:p>
        </w:tc>
        <w:tc>
          <w:tcPr/>
          <w:p>
            <w:pPr>
              <w:pStyle w:val="Compact"/>
            </w:pPr>
            <w:r>
              <w:t xml:space="preserve">UFC Freedom 250 loss commentary</w:t>
            </w:r>
          </w:p>
        </w:tc>
        <w:tc>
          <w:tcPr/>
          <w:p>
            <w:pPr>
              <w:pStyle w:val="Compact"/>
            </w:pPr>
            <w:r>
              <w:t xml:space="preserve">UNCHANGED</w:t>
            </w:r>
          </w:p>
        </w:tc>
        <w:tc>
          <w:tcPr/>
          <w:p>
            <w:pPr>
              <w:pStyle w:val="Compact"/>
            </w:pPr>
            <w:r>
              <w:t xml:space="preserve">guide ~(</w:t>
            </w:r>
            <m:oMath>
              <m:r>
                <m:t>30</m:t>
              </m:r>
              <m:r>
                <m:t>M</m:t>
              </m:r>
              <m:r>
                <m:rPr>
                  <m:sty m:val="p"/>
                </m:rPr>
                <m:t>)</m:t>
              </m:r>
              <m:r>
                <m:t>v</m:t>
              </m:r>
              <m:r>
                <m:t>s</m:t>
              </m:r>
              <m:r>
                <m:rPr>
                  <m:sty m:val="p"/>
                </m:rPr>
                <m:t>.</m:t>
              </m:r>
              <m:r>
                <m:t>c</m:t>
              </m:r>
              <m:r>
                <m:t>o</m:t>
              </m:r>
              <m:r>
                <m:t>n</m:t>
              </m:r>
              <m:r>
                <m:t>s</m:t>
              </m:r>
              <m:r>
                <m:t> </m:t>
              </m:r>
              <m:r>
                <m:rPr>
                  <m:sty m:val="p"/>
                </m:rPr>
                <m:t>(</m:t>
              </m:r>
            </m:oMath>
            <w:r>
              <w:t xml:space="preserve">30M) (2Q2026)</w:t>
            </w:r>
          </w:p>
        </w:tc>
        <w:tc>
          <w:tcPr/>
          <w:p>
            <w:pPr>
              <w:pStyle w:val="Compact"/>
            </w:pPr>
            <w:r>
              <w:t xml:space="preserve">HIGH</w:t>
            </w:r>
          </w:p>
        </w:tc>
      </w:tr>
      <w:tr>
        <w:tc>
          <w:tcPr/>
          <w:p>
            <w:pPr>
              <w:pStyle w:val="Compact"/>
            </w:pPr>
            <w:r>
              <w:t xml:space="preserve">TKO</w:t>
            </w:r>
          </w:p>
        </w:tc>
        <w:tc>
          <w:tcPr/>
          <w:p>
            <w:pPr>
              <w:pStyle w:val="Compact"/>
            </w:pPr>
            <w:r>
              <w:t xml:space="preserve">Return</w:t>
            </w:r>
          </w:p>
        </w:tc>
        <w:tc>
          <w:tcPr/>
          <w:p>
            <w:pPr>
              <w:pStyle w:val="Compact"/>
            </w:pPr>
            <w:r>
              <w:t xml:space="preserve">Day-1 residual (stock − beta × S&amp;P 500)</w:t>
            </w:r>
          </w:p>
        </w:tc>
        <w:tc>
          <w:tcPr/>
          <w:p>
            <w:pPr>
              <w:pStyle w:val="Compact"/>
            </w:pPr>
            <w:r>
              <w:t xml:space="preserve">+2.8%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  <w:tr>
        <w:tc>
          <w:tcPr/>
          <w:p>
            <w:pPr>
              <w:pStyle w:val="Compact"/>
            </w:pPr>
            <w:r>
              <w:t xml:space="preserve">TKO</w:t>
            </w:r>
          </w:p>
        </w:tc>
        <w:tc>
          <w:tcPr/>
          <w:p>
            <w:pPr>
              <w:pStyle w:val="Compact"/>
            </w:pPr>
            <w:r>
              <w:t xml:space="preserve">Return</w:t>
            </w:r>
          </w:p>
        </w:tc>
        <w:tc>
          <w:tcPr/>
          <w:p>
            <w:pPr>
              <w:pStyle w:val="Compact"/>
            </w:pPr>
            <w:r>
              <w:t xml:space="preserve">5-day cumulative residual</w:t>
            </w:r>
          </w:p>
        </w:tc>
        <w:tc>
          <w:tcPr/>
          <w:p>
            <w:pPr>
              <w:pStyle w:val="Compact"/>
            </w:pPr>
            <w:r>
              <w:t xml:space="preserve">+1.5% (FADE)</w:t>
            </w:r>
          </w:p>
        </w:tc>
        <w:tc>
          <w:tcPr/>
          <w:p>
            <w:pPr>
              <w:pStyle w:val="Compact"/>
            </w:pPr>
            <w:r>
              <w:t xml:space="preserve">A WWE- and World Cup-led quarterly beat should produce an initial positive reaction, but unchanged FY2026 revenue and Adjusted EBITDA guide (~</w:t>
            </w:r>
            <m:oMath>
              <m:r>
                <m:t>5.725</m:t>
              </m:r>
              <m:r>
                <m:t>B</m:t>
              </m:r>
              <m:r>
                <m:t>a</m:t>
              </m:r>
              <m:r>
                <m:t>n</m:t>
              </m:r>
              <m:r>
                <m:t>d</m:t>
              </m:r>
              <m:r>
                <m:t> </m:t>
              </m:r>
            </m:oMath>
            <w:r>
              <w:t xml:space="preserve">2.265B) implies limited out-period estimate upside after the quarter; investors will also look through the known ~($30M) Freedom 250 drag and event-timing benefits.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2026-08-03T00:20:08Z</dcterms:created>
  <dcterms:modified xsi:type="dcterms:W3CDTF">2026-08-03T00:20:08Z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