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1cb41e7370d011887c0ecbad4a7a37cd3a11e6"/>
    <w:p>
      <w:pPr>
        <w:pStyle w:val="Heading1"/>
      </w:pPr>
      <w:r>
        <w:t xml:space="preserve">TKO Group Holdings (NYSE: TKO) — 2Q26 Earnings Preview</w:t>
      </w:r>
    </w:p>
    <w:p>
      <w:pPr>
        <w:pStyle w:val="BlockText"/>
      </w:pPr>
      <w:r>
        <w:rPr>
          <w:b/>
          <w:bCs/>
        </w:rPr>
        <w:t xml:space="preserve">Timing clarification:</w:t>
      </w:r>
      <w:r>
        <w:t xml:space="preserve"> </w:t>
      </w:r>
      <w:r>
        <w:t xml:space="preserve">TKO is scheduled to report</w:t>
      </w:r>
      <w:r>
        <w:t xml:space="preserve"> </w:t>
      </w:r>
      <w:r>
        <w:rPr>
          <w:b/>
          <w:bCs/>
        </w:rPr>
        <w:t xml:space="preserve">after market close today, Monday, August 3, 2026</w:t>
      </w:r>
      <w:r>
        <w:t xml:space="preserve">, followed by its earnings call at</w:t>
      </w:r>
      <w:r>
        <w:t xml:space="preserve"> </w:t>
      </w:r>
      <w:r>
        <w:rPr>
          <w:b/>
          <w:bCs/>
        </w:rPr>
        <w:t xml:space="preserve">5:00 p.m. ET</w:t>
      </w:r>
      <w:r>
        <w:t xml:space="preserve">—not tomorrow.</w:t>
      </w:r>
    </w:p>
    <w:bookmarkStart w:id="9" w:name="investment-setup"/>
    <w:p>
      <w:pPr>
        <w:pStyle w:val="Heading2"/>
      </w:pPr>
      <w:r>
        <w:t xml:space="preserve">Investment setup</w:t>
      </w:r>
    </w:p>
    <w:p>
      <w:pPr>
        <w:pStyle w:val="FirstParagraph"/>
      </w:pPr>
      <w:r>
        <w:t xml:space="preserve">TKO enters 2Q with its major 2026 earnings drivers intact: the stepped-up UFC–Paramount media-rights agreement, WWE’s ESPN/Netflix economics, premium-live-event demand and financial-incentive-package (FIP) revenue, plus On Location’s FIFA World Cup hospitality activity. Management reaffirmed its full-year outlook after a strong 1Q, but 2Q should be a particularly noisy quarter because it contains both unusually large WWE events and a deliberately loss-making UFC event at the White House.</w:t>
      </w:r>
    </w:p>
    <w:p>
      <w:pPr>
        <w:pStyle w:val="BodyText"/>
      </w:pPr>
      <w:r>
        <w:t xml:space="preserve">The central question for investors is therefore less about a clean quarterly “beat” and more about whether management</w:t>
      </w:r>
      <w:r>
        <w:t xml:space="preserve"> </w:t>
      </w:r>
      <w:r>
        <w:rPr>
          <w:b/>
          <w:bCs/>
        </w:rPr>
        <w:t xml:space="preserve">reaffirms or raises</w:t>
      </w:r>
      <w:r>
        <w:t xml:space="preserve"> </w:t>
      </w:r>
      <w:r>
        <w:t xml:space="preserve">its 2026 outlook while validating the expected margin trajectory after absorbing event-specific costs and World Cup-related working-capital movements.</w:t>
      </w:r>
    </w:p>
    <w:bookmarkEnd w:id="9"/>
    <w:bookmarkStart w:id="10" w:name="Xa0ba99867be236af09b207dd291488a622b926a"/>
    <w:p>
      <w:pPr>
        <w:pStyle w:val="Heading2"/>
      </w:pPr>
      <w:r>
        <w:t xml:space="preserve">The baseline: 1Q was strong, and full-year guidance implies a steep earnings ramp</w:t>
      </w:r>
    </w:p>
    <w:p>
      <w:pPr>
        <w:pStyle w:val="FirstParagraph"/>
      </w:pPr>
      <w:r>
        <w:t xml:space="preserve">In 1Q26, TKO generated: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$1.597B</w:t>
            </w:r>
          </w:p>
        </w:tc>
        <w:tc>
          <w:tcPr/>
          <w:p>
            <w:pPr>
              <w:pStyle w:val="Compact"/>
              <w:jc w:val="right"/>
            </w:pPr>
            <w:r>
              <w:rPr>
                <w:b/>
                <w:bCs/>
              </w:rPr>
              <w:t xml:space="preserve">+26%</w:t>
            </w:r>
          </w:p>
        </w:tc>
      </w:tr>
      <w:tr>
        <w:tc>
          <w:tcPr/>
          <w:p>
            <w:pPr>
              <w:pStyle w:val="Compact"/>
            </w:pPr>
            <w:r>
              <w:t xml:space="preserve">Adjusted EBITDA</w:t>
            </w:r>
          </w:p>
        </w:tc>
        <w:tc>
          <w:tcPr/>
          <w:p>
            <w:pPr>
              <w:pStyle w:val="Compact"/>
              <w:jc w:val="right"/>
            </w:pPr>
            <w:r>
              <w:rPr>
                <w:b/>
                <w:bCs/>
              </w:rPr>
              <w:t xml:space="preserve">$549.8M</w:t>
            </w:r>
          </w:p>
        </w:tc>
        <w:tc>
          <w:tcPr/>
          <w:p>
            <w:pPr>
              <w:pStyle w:val="Compact"/>
              <w:jc w:val="right"/>
            </w:pPr>
            <w:r>
              <w:rPr>
                <w:b/>
                <w:bCs/>
              </w:rPr>
              <w:t xml:space="preserve">+32%</w:t>
            </w:r>
          </w:p>
        </w:tc>
      </w:tr>
      <w:tr>
        <w:tc>
          <w:tcPr/>
          <w:p>
            <w:pPr>
              <w:pStyle w:val="Compact"/>
            </w:pPr>
            <w:r>
              <w:t xml:space="preserve">Adjusted EBITDA margin</w:t>
            </w:r>
          </w:p>
        </w:tc>
        <w:tc>
          <w:tcPr/>
          <w:p>
            <w:pPr>
              <w:pStyle w:val="Compact"/>
              <w:jc w:val="right"/>
            </w:pPr>
            <w:r>
              <w:rPr>
                <w:b/>
                <w:bCs/>
              </w:rPr>
              <w:t xml:space="preserve">34%</w:t>
            </w:r>
          </w:p>
        </w:tc>
        <w:tc>
          <w:tcPr/>
          <w:p>
            <w:pPr>
              <w:pStyle w:val="Compact"/>
              <w:jc w:val="right"/>
            </w:pPr>
            <w:r>
              <w:t xml:space="preserve">+~150 bps</w:t>
            </w:r>
          </w:p>
        </w:tc>
      </w:tr>
      <w:tr>
        <w:tc>
          <w:tcPr/>
          <w:p>
            <w:pPr>
              <w:pStyle w:val="Compact"/>
            </w:pPr>
            <w:r>
              <w:t xml:space="preserve">Free cash flow</w:t>
            </w:r>
          </w:p>
        </w:tc>
        <w:tc>
          <w:tcPr/>
          <w:p>
            <w:pPr>
              <w:pStyle w:val="Compact"/>
              <w:jc w:val="right"/>
            </w:pPr>
            <w:r>
              <w:rPr>
                <w:b/>
                <w:bCs/>
              </w:rPr>
              <w:t xml:space="preserve">$674.5M</w:t>
            </w:r>
          </w:p>
        </w:tc>
        <w:tc>
          <w:tcPr/>
          <w:p>
            <w:pPr>
              <w:pStyle w:val="Compact"/>
              <w:jc w:val="right"/>
            </w:pPr>
            <w:r>
              <w:t xml:space="preserve">vs. $135.5M</w:t>
            </w:r>
          </w:p>
        </w:tc>
      </w:tr>
      <w:tr>
        <w:tc>
          <w:tcPr/>
          <w:p>
            <w:pPr>
              <w:pStyle w:val="Compact"/>
            </w:pPr>
            <w:r>
              <w:t xml:space="preserve">Net leverage</w:t>
            </w:r>
          </w:p>
        </w:tc>
        <w:tc>
          <w:tcPr/>
          <w:p>
            <w:pPr>
              <w:pStyle w:val="Compact"/>
              <w:jc w:val="right"/>
            </w:pPr>
            <w:r>
              <w:rPr>
                <w:b/>
                <w:bCs/>
              </w:rPr>
              <w:t xml:space="preserve">2.3x</w:t>
            </w:r>
          </w:p>
        </w:tc>
        <w:tc>
          <w:tcPr/>
          <w:p>
            <w:pPr>
              <w:pStyle w:val="Compact"/>
              <w:jc w:val="right"/>
            </w:pPr>
            <w:r>
              <w:t xml:space="preserve">—</w:t>
            </w:r>
          </w:p>
        </w:tc>
      </w:tr>
    </w:tbl>
    <w:p>
      <w:pPr>
        <w:pStyle w:val="BodyText"/>
      </w:pPr>
      <w:r>
        <w:t xml:space="preserve">The free-cash-flow figure was materially assisted by roughly</w:t>
      </w:r>
      <w:r>
        <w:t xml:space="preserve"> </w:t>
      </w:r>
      <w:r>
        <w:rPr>
          <w:b/>
          <w:bCs/>
        </w:rPr>
        <w:t xml:space="preserve">$582M of net FIFA World Cup-related prepayments held in escrow</w:t>
      </w:r>
      <w:r>
        <w:t xml:space="preserve">, so investors should avoid annualizing 1Q conversion mechanically.</w:t>
      </w:r>
    </w:p>
    <w:p>
      <w:pPr>
        <w:pStyle w:val="BodyText"/>
      </w:pPr>
      <w:r>
        <w:t xml:space="preserve">Management’s standing full-year 2026 targets are:</w:t>
      </w:r>
    </w:p>
    <w:p>
      <w:pPr>
        <w:pStyle w:val="Compact"/>
        <w:numPr>
          <w:ilvl w:val="0"/>
          <w:numId w:val="1001"/>
        </w:numPr>
      </w:pPr>
      <w:r>
        <w:rPr>
          <w:b/>
          <w:bCs/>
        </w:rPr>
        <w:t xml:space="preserve">Revenue:</w:t>
      </w:r>
      <w:r>
        <w:t xml:space="preserve"> </w:t>
      </w:r>
      <m:oMath>
        <m:r>
          <m:t>5.675</m:t>
        </m:r>
        <m:r>
          <m:t>B</m:t>
        </m:r>
        <m:r>
          <m:rPr>
            <m:sty m:val="p"/>
          </m:rPr>
          <m:t>–</m:t>
        </m:r>
      </m:oMath>
      <w:r>
        <w:rPr>
          <w:b/>
          <w:bCs/>
        </w:rPr>
        <w:t xml:space="preserve">5.775B</w:t>
      </w:r>
    </w:p>
    <w:p>
      <w:pPr>
        <w:pStyle w:val="Compact"/>
        <w:numPr>
          <w:ilvl w:val="0"/>
          <w:numId w:val="1001"/>
        </w:numPr>
      </w:pPr>
      <w:r>
        <w:rPr>
          <w:b/>
          <w:bCs/>
        </w:rPr>
        <w:t xml:space="preserve">Adjusted EBITDA:</w:t>
      </w:r>
      <w:r>
        <w:t xml:space="preserve"> </w:t>
      </w:r>
      <m:oMath>
        <m:r>
          <m:t>2.240</m:t>
        </m:r>
        <m:r>
          <m:t>B</m:t>
        </m:r>
        <m:r>
          <m:rPr>
            <m:sty m:val="p"/>
          </m:rPr>
          <m:t>–</m:t>
        </m:r>
      </m:oMath>
      <w:r>
        <w:rPr>
          <w:b/>
          <w:bCs/>
        </w:rPr>
        <w:t xml:space="preserve">2.290B</w:t>
      </w:r>
    </w:p>
    <w:p>
      <w:pPr>
        <w:pStyle w:val="Compact"/>
        <w:numPr>
          <w:ilvl w:val="0"/>
          <w:numId w:val="1001"/>
        </w:numPr>
      </w:pPr>
      <w:r>
        <w:t xml:space="preserve">At the midpoint, that implies roughly</w:t>
      </w:r>
      <w:r>
        <w:t xml:space="preserve"> </w:t>
      </w:r>
      <w:r>
        <w:rPr>
          <w:b/>
          <w:bCs/>
        </w:rPr>
        <w:t xml:space="preserve">21% revenue growth</w:t>
      </w:r>
      <w:r>
        <w:t xml:space="preserve">,</w:t>
      </w:r>
      <w:r>
        <w:t xml:space="preserve"> </w:t>
      </w:r>
      <w:r>
        <w:rPr>
          <w:b/>
          <w:bCs/>
        </w:rPr>
        <w:t xml:space="preserve">43% Adjusted EBITDA growth</w:t>
      </w:r>
      <w:r>
        <w:t xml:space="preserve">, and approximately</w:t>
      </w:r>
      <w:r>
        <w:t xml:space="preserve"> </w:t>
      </w:r>
      <w:r>
        <w:rPr>
          <w:b/>
          <w:bCs/>
        </w:rPr>
        <w:t xml:space="preserve">600 bps of margin expansion</w:t>
      </w:r>
      <w:r>
        <w:t xml:space="preserve"> </w:t>
      </w:r>
      <w:r>
        <w:t xml:space="preserve">versus 2025.</w:t>
      </w:r>
    </w:p>
    <w:p>
      <w:pPr>
        <w:pStyle w:val="FirstParagraph"/>
      </w:pPr>
      <w:r>
        <w:t xml:space="preserve">That outlook puts substantial weight on the remaining quarters. Management explicitly characterized 2Q as its</w:t>
      </w:r>
      <w:r>
        <w:t xml:space="preserve"> </w:t>
      </w:r>
      <w:r>
        <w:rPr>
          <w:b/>
          <w:bCs/>
        </w:rPr>
        <w:t xml:space="preserve">largest quarter of the year for WWE revenue and Adjusted EBITDA in absolute dollars</w:t>
      </w:r>
      <w:r>
        <w:t xml:space="preserve">.</w:t>
      </w:r>
    </w:p>
    <w:bookmarkEnd w:id="10"/>
    <w:bookmarkStart w:id="15" w:name="what-matters-most-in-2q"/>
    <w:p>
      <w:pPr>
        <w:pStyle w:val="Heading2"/>
      </w:pPr>
      <w:r>
        <w:t xml:space="preserve">What matters most in 2Q</w:t>
      </w:r>
    </w:p>
    <w:bookmarkStart w:id="11" w:name="X8b4fa3dbaa7d50420341d636cb9effcb2d7a308"/>
    <w:p>
      <w:pPr>
        <w:pStyle w:val="Heading3"/>
      </w:pPr>
      <w:r>
        <w:t xml:space="preserve">1. WWE should be the largest reported driver</w:t>
      </w:r>
    </w:p>
    <w:p>
      <w:pPr>
        <w:pStyle w:val="FirstParagraph"/>
      </w:pPr>
      <w:r>
        <w:t xml:space="preserve">WWE has the clearest 2Q setup. The quarter included</w:t>
      </w:r>
      <w:r>
        <w:t xml:space="preserve"> </w:t>
      </w:r>
      <w:r>
        <w:rPr>
          <w:b/>
          <w:bCs/>
        </w:rPr>
        <w:t xml:space="preserve">WrestleMania 42</w:t>
      </w:r>
      <w:r>
        <w:t xml:space="preserve"> </w:t>
      </w:r>
      <w:r>
        <w:t xml:space="preserve">and a premium live event in Saudi Arabia, combining high gate/hospitality activity, media-rights revenue, sponsorship, merchandise and FIP economics.</w:t>
      </w:r>
    </w:p>
    <w:p>
      <w:pPr>
        <w:pStyle w:val="BodyText"/>
      </w:pPr>
      <w:r>
        <w:t xml:space="preserve">In 1Q, WWE revenue increased 22% to</w:t>
      </w:r>
      <w:r>
        <w:t xml:space="preserve"> </w:t>
      </w:r>
      <m:oMath>
        <m:r>
          <m:t>475.7</m:t>
        </m:r>
        <m:r>
          <m:t>M</m:t>
        </m:r>
        <m:r>
          <m:rPr>
            <m:sty m:val="p"/>
          </m:rPr>
          <m:t>*</m:t>
        </m:r>
        <m:r>
          <m:rPr>
            <m:sty m:val="p"/>
          </m:rPr>
          <m:t>*</m:t>
        </m:r>
        <m:r>
          <m:t>a</m:t>
        </m:r>
        <m:r>
          <m:t>n</m:t>
        </m:r>
        <m:r>
          <m:t>d</m:t>
        </m:r>
        <m:r>
          <m:t>A</m:t>
        </m:r>
        <m:r>
          <m:t>d</m:t>
        </m:r>
        <m:r>
          <m:t>j</m:t>
        </m:r>
        <m:r>
          <m:t>u</m:t>
        </m:r>
        <m:r>
          <m:t>s</m:t>
        </m:r>
        <m:r>
          <m:t>t</m:t>
        </m:r>
        <m:r>
          <m:t>e</m:t>
        </m:r>
        <m:r>
          <m:t>d</m:t>
        </m:r>
        <m:r>
          <m:t>E</m:t>
        </m:r>
        <m:r>
          <m:t>B</m:t>
        </m:r>
        <m:r>
          <m:t>I</m:t>
        </m:r>
        <m:r>
          <m:t>T</m:t>
        </m:r>
        <m:r>
          <m:t>D</m:t>
        </m:r>
        <m:r>
          <m:t>A</m:t>
        </m:r>
        <m:r>
          <m:t>r</m:t>
        </m:r>
        <m:r>
          <m:t>o</m:t>
        </m:r>
        <m:r>
          <m:t>s</m:t>
        </m:r>
        <m:r>
          <m:t>e</m:t>
        </m:r>
        <m:r>
          <m:t>32</m:t>
        </m:r>
      </m:oMath>
      <w:r>
        <w:rPr>
          <w:b/>
          <w:bCs/>
        </w:rPr>
        <w:t xml:space="preserve">256.1M</w:t>
      </w:r>
      <w:r>
        <w:t xml:space="preserve">, with margin expanding to</w:t>
      </w:r>
      <w:r>
        <w:t xml:space="preserve"> </w:t>
      </w:r>
      <w:r>
        <w:rPr>
          <w:b/>
          <w:bCs/>
        </w:rPr>
        <w:t xml:space="preserve">54%</w:t>
      </w:r>
      <w:r>
        <w:t xml:space="preserve">. Media-rights revenue was already benefiting from ESPN and Netflix, while the Saudi Royal Rumble demonstrated the earnings power of FIP-backed international events.</w:t>
      </w:r>
    </w:p>
    <w:p>
      <w:pPr>
        <w:pStyle w:val="BodyText"/>
      </w:pPr>
      <w:r>
        <w:rPr>
          <w:b/>
          <w:bCs/>
        </w:rPr>
        <w:t xml:space="preserve">What to watch</w:t>
      </w:r>
    </w:p>
    <w:p>
      <w:pPr>
        <w:pStyle w:val="Compact"/>
        <w:numPr>
          <w:ilvl w:val="0"/>
          <w:numId w:val="1002"/>
        </w:numPr>
      </w:pPr>
      <w:r>
        <w:t xml:space="preserve">Whether WrestleMania economics met management’s expectations after calling the event “highly successful and profitable.”</w:t>
      </w:r>
    </w:p>
    <w:p>
      <w:pPr>
        <w:pStyle w:val="Compact"/>
        <w:numPr>
          <w:ilvl w:val="0"/>
          <w:numId w:val="1002"/>
        </w:numPr>
      </w:pPr>
      <w:r>
        <w:t xml:space="preserve">WWE segment margin: the key confirmation that new rights fees are flowing through despite international-event travel and production costs.</w:t>
      </w:r>
    </w:p>
    <w:p>
      <w:pPr>
        <w:pStyle w:val="Compact"/>
        <w:numPr>
          <w:ilvl w:val="0"/>
          <w:numId w:val="1002"/>
        </w:numPr>
      </w:pPr>
      <w:r>
        <w:t xml:space="preserve">Partnership and sponsorship growth, particularly after management flagged a record</w:t>
      </w:r>
      <w:r>
        <w:t xml:space="preserve"> </w:t>
      </w:r>
      <w:r>
        <w:rPr>
          <w:b/>
          <w:bCs/>
        </w:rPr>
        <w:t xml:space="preserve">32 partners</w:t>
      </w:r>
      <w:r>
        <w:t xml:space="preserve"> </w:t>
      </w:r>
      <w:r>
        <w:t xml:space="preserve">around WrestleMania.</w:t>
      </w:r>
    </w:p>
    <w:p>
      <w:pPr>
        <w:pStyle w:val="Compact"/>
        <w:numPr>
          <w:ilvl w:val="0"/>
          <w:numId w:val="1002"/>
        </w:numPr>
      </w:pPr>
      <w:r>
        <w:t xml:space="preserve">Commentary on ticketing, creative/fan engagement, and the sustainability of premium pricing. Management has defended demand, but investor attention remains elevated around potential fan friction from higher prices and advertising/commercial integration.</w:t>
      </w:r>
    </w:p>
    <w:bookmarkEnd w:id="11"/>
    <w:bookmarkStart w:id="12" w:name="X0a3022e19a354a59a9535e2ab80204442e0e1bd"/>
    <w:p>
      <w:pPr>
        <w:pStyle w:val="Heading3"/>
      </w:pPr>
      <w:r>
        <w:t xml:space="preserve">2. UFC: media-rights step-up versus unfavorable event mix and Freedom 250 loss</w:t>
      </w:r>
    </w:p>
    <w:p>
      <w:pPr>
        <w:pStyle w:val="FirstParagraph"/>
      </w:pPr>
      <w:r>
        <w:t xml:space="preserve">UFC’s structural earnings story remains favorable: the Paramount distribution agreement began in January, lifting media-rights revenue. In 1Q, UFC revenue grew 12% to</w:t>
      </w:r>
      <w:r>
        <w:t xml:space="preserve"> </w:t>
      </w:r>
      <m:oMath>
        <m:r>
          <m:t>401.2</m:t>
        </m:r>
        <m:r>
          <m:t>M</m:t>
        </m:r>
        <m:r>
          <m:rPr>
            <m:sty m:val="p"/>
          </m:rPr>
          <m:t>*</m:t>
        </m:r>
        <m:r>
          <m:rPr>
            <m:sty m:val="p"/>
          </m:rPr>
          <m:t>*</m:t>
        </m:r>
        <m:r>
          <m:rPr>
            <m:sty m:val="p"/>
          </m:rPr>
          <m:t>,</m:t>
        </m:r>
        <m:r>
          <m:t>w</m:t>
        </m:r>
        <m:r>
          <m:t>h</m:t>
        </m:r>
        <m:r>
          <m:t>i</m:t>
        </m:r>
        <m:r>
          <m:t>l</m:t>
        </m:r>
        <m:r>
          <m:t>e</m:t>
        </m:r>
        <m:r>
          <m:t>A</m:t>
        </m:r>
        <m:r>
          <m:t>d</m:t>
        </m:r>
        <m:r>
          <m:t>j</m:t>
        </m:r>
        <m:r>
          <m:t>u</m:t>
        </m:r>
        <m:r>
          <m:t>s</m:t>
        </m:r>
        <m:r>
          <m:t>t</m:t>
        </m:r>
        <m:r>
          <m:t>e</m:t>
        </m:r>
        <m:r>
          <m:t>d</m:t>
        </m:r>
        <m:r>
          <m:t>E</m:t>
        </m:r>
        <m:r>
          <m:t>B</m:t>
        </m:r>
        <m:r>
          <m:t>I</m:t>
        </m:r>
        <m:r>
          <m:t>T</m:t>
        </m:r>
        <m:r>
          <m:t>D</m:t>
        </m:r>
        <m:r>
          <m:t>A</m:t>
        </m:r>
        <m:r>
          <m:t>a</m:t>
        </m:r>
        <m:r>
          <m:t>l</m:t>
        </m:r>
        <m:r>
          <m:t>s</m:t>
        </m:r>
        <m:r>
          <m:t>o</m:t>
        </m:r>
        <m:r>
          <m:t>g</m:t>
        </m:r>
        <m:r>
          <m:t>r</m:t>
        </m:r>
        <m:r>
          <m:t>e</m:t>
        </m:r>
        <m:r>
          <m:t>w</m:t>
        </m:r>
        <m:r>
          <m:t>12</m:t>
        </m:r>
      </m:oMath>
      <w:r>
        <w:rPr>
          <w:b/>
          <w:bCs/>
        </w:rPr>
        <w:t xml:space="preserve">254.5M</w:t>
      </w:r>
      <w:r>
        <w:t xml:space="preserve">.</w:t>
      </w:r>
    </w:p>
    <w:p>
      <w:pPr>
        <w:pStyle w:val="BodyText"/>
      </w:pPr>
      <w:r>
        <w:t xml:space="preserve">However, 2Q contains notable offsets:</w:t>
      </w:r>
    </w:p>
    <w:p>
      <w:pPr>
        <w:pStyle w:val="Compact"/>
        <w:numPr>
          <w:ilvl w:val="0"/>
          <w:numId w:val="1003"/>
        </w:numPr>
      </w:pPr>
      <w:r>
        <w:t xml:space="preserve">TKO planned</w:t>
      </w:r>
      <w:r>
        <w:t xml:space="preserve"> </w:t>
      </w:r>
      <w:r>
        <w:rPr>
          <w:b/>
          <w:bCs/>
        </w:rPr>
        <w:t xml:space="preserve">11 UFC events</w:t>
      </w:r>
      <w:r>
        <w:t xml:space="preserve">, the same count as 2Q25, but with only</w:t>
      </w:r>
      <w:r>
        <w:t xml:space="preserve"> </w:t>
      </w:r>
      <w:r>
        <w:rPr>
          <w:b/>
          <w:bCs/>
        </w:rPr>
        <w:t xml:space="preserve">two numbered events versus four</w:t>
      </w:r>
      <w:r>
        <w:t xml:space="preserve"> </w:t>
      </w:r>
      <w:r>
        <w:t xml:space="preserve">a year ago.</w:t>
      </w:r>
    </w:p>
    <w:p>
      <w:pPr>
        <w:pStyle w:val="Compact"/>
        <w:numPr>
          <w:ilvl w:val="0"/>
          <w:numId w:val="1003"/>
        </w:numPr>
      </w:pPr>
      <w:r>
        <w:t xml:space="preserve">The company expected</w:t>
      </w:r>
      <w:r>
        <w:t xml:space="preserve"> </w:t>
      </w:r>
      <w:r>
        <w:rPr>
          <w:b/>
          <w:bCs/>
        </w:rPr>
        <w:t xml:space="preserve">UFC Freedom 250</w:t>
      </w:r>
      <w:r>
        <w:t xml:space="preserve"> </w:t>
      </w:r>
      <w:r>
        <w:t xml:space="preserve">at the White House to produce an approximately</w:t>
      </w:r>
      <w:r>
        <w:t xml:space="preserve"> </w:t>
      </w:r>
      <w:r>
        <w:rPr>
          <w:b/>
          <w:bCs/>
        </w:rPr>
        <w:t xml:space="preserve">$30M loss</w:t>
      </w:r>
      <w:r>
        <w:t xml:space="preserve">, as expanded event and festival costs exceeded the limited sponsorship inventory.</w:t>
      </w:r>
    </w:p>
    <w:p>
      <w:pPr>
        <w:pStyle w:val="Compact"/>
        <w:numPr>
          <w:ilvl w:val="0"/>
          <w:numId w:val="1003"/>
        </w:numPr>
      </w:pPr>
      <w:r>
        <w:t xml:space="preserve">A Fight Night in Baku was expected to carry a meaningful FIP under a multiyear agreement with a higher per-event fee than the prior year.</w:t>
      </w:r>
    </w:p>
    <w:p>
      <w:pPr>
        <w:pStyle w:val="FirstParagraph"/>
      </w:pPr>
      <w:r>
        <w:rPr>
          <w:b/>
          <w:bCs/>
        </w:rPr>
        <w:t xml:space="preserve">Investor interpretation:</w:t>
      </w:r>
      <w:r>
        <w:t xml:space="preserve"> </w:t>
      </w:r>
      <w:r>
        <w:t xml:space="preserve">A weaker UFC quarterly margin would not necessarily impair the long-term thesis if it is clearly attributable to the White House event and card mix. Conversely, investors will want assurance that Paramount’s broader distribution and higher rights fees are translating into engagement, sponsorship demand, and future monetization—not merely offsetting escalating production and fighter costs.</w:t>
      </w:r>
    </w:p>
    <w:bookmarkEnd w:id="12"/>
    <w:bookmarkStart w:id="13" w:name="X5fb480652eef3ae880987b830d4a5e9cd41bbe4"/>
    <w:p>
      <w:pPr>
        <w:pStyle w:val="Heading3"/>
      </w:pPr>
      <w:r>
        <w:t xml:space="preserve">3. IMG / On Location: FIFA World Cup is the swing factor for revenue quality and cash conversion</w:t>
      </w:r>
    </w:p>
    <w:p>
      <w:pPr>
        <w:pStyle w:val="FirstParagraph"/>
      </w:pPr>
      <w:r>
        <w:t xml:space="preserve">On Location’s FIFA World Cup hospitality program is TKO’s largest near-term experiential catalyst. Management said first-quarter World Cup hospitality sales were running at</w:t>
      </w:r>
      <w:r>
        <w:t xml:space="preserve"> </w:t>
      </w:r>
      <w:r>
        <w:rPr>
          <w:b/>
          <w:bCs/>
        </w:rPr>
        <w:t xml:space="preserve">more than 2x any prior World Cup program</w:t>
      </w:r>
      <w:r>
        <w:t xml:space="preserve">, and the tournament began on</w:t>
      </w:r>
      <w:r>
        <w:t xml:space="preserve"> </w:t>
      </w:r>
      <w:r>
        <w:rPr>
          <w:b/>
          <w:bCs/>
        </w:rPr>
        <w:t xml:space="preserve">June 11</w:t>
      </w:r>
      <w:r>
        <w:t xml:space="preserve">, squarely within 2Q.</w:t>
      </w:r>
    </w:p>
    <w:p>
      <w:pPr>
        <w:pStyle w:val="BodyText"/>
      </w:pPr>
      <w:r>
        <w:t xml:space="preserve">This should support segment revenue and EBITDA, alongside activity around the Final Four, NFL Draft, major soccer-league finales, Wimbledon, and a full MLS quarter. But the segment also carries meaningful pre-spend for LA28 Olympic hospitality sales efforts.</w:t>
      </w:r>
    </w:p>
    <w:p>
      <w:pPr>
        <w:pStyle w:val="BodyText"/>
      </w:pPr>
      <w:r>
        <w:rPr>
          <w:b/>
          <w:bCs/>
        </w:rPr>
        <w:t xml:space="preserve">What to watch</w:t>
      </w:r>
    </w:p>
    <w:p>
      <w:pPr>
        <w:pStyle w:val="Compact"/>
        <w:numPr>
          <w:ilvl w:val="0"/>
          <w:numId w:val="1004"/>
        </w:numPr>
      </w:pPr>
      <w:r>
        <w:t xml:space="preserve">World Cup revenue recognition and whether management provides updated booking or sales commentary.</w:t>
      </w:r>
    </w:p>
    <w:p>
      <w:pPr>
        <w:pStyle w:val="Compact"/>
        <w:numPr>
          <w:ilvl w:val="0"/>
          <w:numId w:val="1004"/>
        </w:numPr>
      </w:pPr>
      <w:r>
        <w:t xml:space="preserve">Margin performance at IMG/On Location: high event revenue does not necessarily translate into WWE/UFC-like margins.</w:t>
      </w:r>
    </w:p>
    <w:p>
      <w:pPr>
        <w:pStyle w:val="Compact"/>
        <w:numPr>
          <w:ilvl w:val="0"/>
          <w:numId w:val="1004"/>
        </w:numPr>
      </w:pPr>
      <w:r>
        <w:t xml:space="preserve">Cash-flow normalization: FIFA customer prepayments and escrow movements can create large quarter-to-quarter swings that differ from underlying profitability.</w:t>
      </w:r>
    </w:p>
    <w:bookmarkEnd w:id="13"/>
    <w:bookmarkStart w:id="14" w:name="X7cc740a9f2c9d3c49b06c49910895b7dad21395"/>
    <w:p>
      <w:pPr>
        <w:pStyle w:val="Heading3"/>
      </w:pPr>
      <w:r>
        <w:t xml:space="preserve">4. Guidance is likely the key stock-moving datapoint</w:t>
      </w:r>
    </w:p>
    <w:p>
      <w:pPr>
        <w:pStyle w:val="FirstParagraph"/>
      </w:pPr>
      <w:r>
        <w:t xml:space="preserve">Given the unusual quarterly mix, the cleanest positive outcome is likely:</w:t>
      </w:r>
    </w:p>
    <w:p>
      <w:pPr>
        <w:pStyle w:val="Compact"/>
        <w:numPr>
          <w:ilvl w:val="0"/>
          <w:numId w:val="1005"/>
        </w:numPr>
      </w:pPr>
      <w:r>
        <w:t xml:space="preserve">Results consistent with a strong WWE-led quarter;</w:t>
      </w:r>
    </w:p>
    <w:p>
      <w:pPr>
        <w:pStyle w:val="Compact"/>
        <w:numPr>
          <w:ilvl w:val="0"/>
          <w:numId w:val="1005"/>
        </w:numPr>
      </w:pPr>
      <w:r>
        <w:t xml:space="preserve">Clear explanation of UFC Freedom 250’s expected drag;</w:t>
      </w:r>
    </w:p>
    <w:p>
      <w:pPr>
        <w:pStyle w:val="Compact"/>
        <w:numPr>
          <w:ilvl w:val="0"/>
          <w:numId w:val="1005"/>
        </w:numPr>
      </w:pPr>
      <w:r>
        <w:t xml:space="preserve">Continued evidence of UFC and WWE media-rights momentum; and</w:t>
      </w:r>
    </w:p>
    <w:p>
      <w:pPr>
        <w:pStyle w:val="Compact"/>
        <w:numPr>
          <w:ilvl w:val="0"/>
          <w:numId w:val="1005"/>
        </w:numPr>
      </w:pPr>
      <w:r>
        <w:rPr>
          <w:b/>
          <w:bCs/>
        </w:rPr>
        <w:t xml:space="preserve">Reaffirmed or raised full-year guidance.</w:t>
      </w:r>
    </w:p>
    <w:p>
      <w:pPr>
        <w:pStyle w:val="FirstParagraph"/>
      </w:pPr>
      <w:r>
        <w:t xml:space="preserve">A guidance raise would be notable because 1Q already incorporated strong Olympic and media-rights contributions, while management had emphasized that its 2026 plan accounts for Freedom 250, FIP activity, World Cup costs and growth investments.</w:t>
      </w:r>
    </w:p>
    <w:p>
      <w:pPr>
        <w:pStyle w:val="BodyText"/>
      </w:pPr>
      <w:r>
        <w:t xml:space="preserve">The downside scenario is not simply a headline miss. It is a combination of:</w:t>
      </w:r>
    </w:p>
    <w:p>
      <w:pPr>
        <w:pStyle w:val="Compact"/>
        <w:numPr>
          <w:ilvl w:val="0"/>
          <w:numId w:val="1006"/>
        </w:numPr>
      </w:pPr>
      <w:r>
        <w:t xml:space="preserve">Lower-than-expected WWE profitability,</w:t>
      </w:r>
    </w:p>
    <w:p>
      <w:pPr>
        <w:pStyle w:val="Compact"/>
        <w:numPr>
          <w:ilvl w:val="0"/>
          <w:numId w:val="1006"/>
        </w:numPr>
      </w:pPr>
      <w:r>
        <w:t xml:space="preserve">UFC margin pressure extending beyond the known White House loss,</w:t>
      </w:r>
    </w:p>
    <w:p>
      <w:pPr>
        <w:pStyle w:val="Compact"/>
        <w:numPr>
          <w:ilvl w:val="0"/>
          <w:numId w:val="1006"/>
        </w:numPr>
      </w:pPr>
      <w:r>
        <w:t xml:space="preserve">weaker-than-expected World Cup conversion or IMG margins,</w:t>
      </w:r>
    </w:p>
    <w:p>
      <w:pPr>
        <w:pStyle w:val="Compact"/>
        <w:numPr>
          <w:ilvl w:val="0"/>
          <w:numId w:val="1006"/>
        </w:numPr>
      </w:pPr>
      <w:r>
        <w:t xml:space="preserve">or more cautious language on FIPs, sponsorship, consumer demand, or the 2027/2028 growth pipeline.</w:t>
      </w:r>
    </w:p>
    <w:bookmarkEnd w:id="14"/>
    <w:bookmarkEnd w:id="15"/>
    <w:bookmarkStart w:id="16" w:name="Xbe45be4eba37a1f28f78dc1d4361c92e9acbdff"/>
    <w:p>
      <w:pPr>
        <w:pStyle w:val="Heading2"/>
      </w:pPr>
      <w:r>
        <w:t xml:space="preserve">Capital allocation and balance sheet: a support, but also an item to monitor</w:t>
      </w:r>
    </w:p>
    <w:p>
      <w:pPr>
        <w:pStyle w:val="FirstParagraph"/>
      </w:pPr>
      <w:r>
        <w:t xml:space="preserve">TKO has been aggressive in returning capital. During 1Q it returned roughly</w:t>
      </w:r>
      <w:r>
        <w:t xml:space="preserve"> </w:t>
      </w:r>
      <m:oMath>
        <m:r>
          <m:t>1.0</m:t>
        </m:r>
        <m:r>
          <m:t>B</m:t>
        </m:r>
        <m:r>
          <m:rPr>
            <m:sty m:val="p"/>
          </m:rPr>
          <m:t>*</m:t>
        </m:r>
        <m:r>
          <m:rPr>
            <m:sty m:val="p"/>
          </m:rPr>
          <m:t>*</m:t>
        </m:r>
        <m:r>
          <m:t>t</m:t>
        </m:r>
        <m:r>
          <m:t>h</m:t>
        </m:r>
        <m:r>
          <m:t>r</m:t>
        </m:r>
        <m:r>
          <m:t>o</m:t>
        </m:r>
        <m:r>
          <m:t>u</m:t>
        </m:r>
        <m:r>
          <m:t>g</m:t>
        </m:r>
        <m:r>
          <m:t>h</m:t>
        </m:r>
        <m:r>
          <m:t>r</m:t>
        </m:r>
        <m:r>
          <m:t>e</m:t>
        </m:r>
        <m:r>
          <m:t>p</m:t>
        </m:r>
        <m:r>
          <m:t>u</m:t>
        </m:r>
        <m:r>
          <m:t>r</m:t>
        </m:r>
        <m:r>
          <m:t>c</m:t>
        </m:r>
        <m:r>
          <m:t>h</m:t>
        </m:r>
        <m:r>
          <m:t>a</m:t>
        </m:r>
        <m:r>
          <m:t>s</m:t>
        </m:r>
        <m:r>
          <m:t>e</m:t>
        </m:r>
        <m:r>
          <m:t>s</m:t>
        </m:r>
        <m:r>
          <m:rPr>
            <m:sty m:val="p"/>
          </m:rPr>
          <m:t>,</m:t>
        </m:r>
        <m:r>
          <m:t>d</m:t>
        </m:r>
        <m:r>
          <m:t>i</m:t>
        </m:r>
        <m:r>
          <m:t>v</m:t>
        </m:r>
        <m:r>
          <m:t>i</m:t>
        </m:r>
        <m:r>
          <m:t>d</m:t>
        </m:r>
        <m:r>
          <m:t>e</m:t>
        </m:r>
        <m:r>
          <m:t>n</m:t>
        </m:r>
        <m:r>
          <m:t>d</m:t>
        </m:r>
        <m:r>
          <m:t>s</m:t>
        </m:r>
        <m:r>
          <m:t>a</m:t>
        </m:r>
        <m:r>
          <m:t>n</m:t>
        </m:r>
        <m:r>
          <m:t>d</m:t>
        </m:r>
        <m:r>
          <m:t>r</m:t>
        </m:r>
        <m:r>
          <m:t>e</m:t>
        </m:r>
        <m:r>
          <m:t>l</m:t>
        </m:r>
        <m:r>
          <m:t>a</m:t>
        </m:r>
        <m:r>
          <m:t>t</m:t>
        </m:r>
        <m:r>
          <m:t>e</m:t>
        </m:r>
        <m:r>
          <m:t>d</m:t>
        </m:r>
        <m:r>
          <m:t>d</m:t>
        </m:r>
        <m:r>
          <m:t>i</m:t>
        </m:r>
        <m:r>
          <m:t>s</m:t>
        </m:r>
        <m:r>
          <m:t>t</m:t>
        </m:r>
        <m:r>
          <m:t>r</m:t>
        </m:r>
        <m:r>
          <m:t>i</m:t>
        </m:r>
        <m:r>
          <m:t>b</m:t>
        </m:r>
        <m:r>
          <m:t>u</m:t>
        </m:r>
        <m:r>
          <m:t>t</m:t>
        </m:r>
        <m:r>
          <m:t>i</m:t>
        </m:r>
        <m:r>
          <m:t>o</m:t>
        </m:r>
        <m:r>
          <m:t>n</m:t>
        </m:r>
        <m:r>
          <m:t>s</m:t>
        </m:r>
        <m:r>
          <m:rPr>
            <m:sty m:val="p"/>
          </m:rPr>
          <m:t>.</m:t>
        </m:r>
        <m:r>
          <m:t>I</m:t>
        </m:r>
        <m:r>
          <m:t>t</m:t>
        </m:r>
        <m:r>
          <m:t>f</m:t>
        </m:r>
        <m:r>
          <m:t>u</m:t>
        </m:r>
        <m:r>
          <m:t>n</m:t>
        </m:r>
        <m:r>
          <m:t>d</m:t>
        </m:r>
        <m:r>
          <m:t>e</m:t>
        </m:r>
        <m:r>
          <m:t>d</m:t>
        </m:r>
        <m:r>
          <m:t>a</m:t>
        </m:r>
        <m:r>
          <m:t>n</m:t>
        </m:r>
        <m:r>
          <m:rPr>
            <m:sty m:val="p"/>
          </m:rPr>
          <m:t>*</m:t>
        </m:r>
        <m:r>
          <m:rPr>
            <m:sty m:val="p"/>
          </m:rPr>
          <m:t>*</m:t>
        </m:r>
      </m:oMath>
      <w:r>
        <w:rPr>
          <w:b/>
          <w:bCs/>
        </w:rPr>
        <w:t xml:space="preserve">800M accelerated share repurchase</w:t>
      </w:r>
      <w:r>
        <w:t xml:space="preserve"> </w:t>
      </w:r>
      <w:r>
        <w:t xml:space="preserve">with a</w:t>
      </w:r>
      <w:r>
        <w:t xml:space="preserve"> </w:t>
      </w:r>
      <m:oMath>
        <m:r>
          <m:t>900</m:t>
        </m:r>
        <m:r>
          <m:t>M</m:t>
        </m:r>
        <m:r>
          <m:t>t</m:t>
        </m:r>
        <m:r>
          <m:t>e</m:t>
        </m:r>
        <m:r>
          <m:t>r</m:t>
        </m:r>
        <m:r>
          <m:t>m</m:t>
        </m:r>
        <m:r>
          <m:rPr>
            <m:sty m:val="p"/>
          </m:rPr>
          <m:t>−</m:t>
        </m:r>
        <m:r>
          <m:t>l</m:t>
        </m:r>
        <m:r>
          <m:t>o</m:t>
        </m:r>
        <m:r>
          <m:t>a</m:t>
        </m:r>
        <m:r>
          <m:t>n</m:t>
        </m:r>
        <m:r>
          <m:t>a</m:t>
        </m:r>
        <m:r>
          <m:t>d</m:t>
        </m:r>
        <m:r>
          <m:t>d</m:t>
        </m:r>
        <m:r>
          <m:rPr>
            <m:sty m:val="p"/>
          </m:rPr>
          <m:t>−</m:t>
        </m:r>
        <m:r>
          <m:t>o</m:t>
        </m:r>
        <m:r>
          <m:t>n</m:t>
        </m:r>
        <m:r>
          <m:rPr>
            <m:sty m:val="p"/>
          </m:rPr>
          <m:t>*</m:t>
        </m:r>
        <m:r>
          <m:rPr>
            <m:sty m:val="p"/>
          </m:rPr>
          <m:t>*</m:t>
        </m:r>
        <m:r>
          <m:t>a</m:t>
        </m:r>
        <m:r>
          <m:t>n</m:t>
        </m:r>
        <m:r>
          <m:t>d</m:t>
        </m:r>
        <m:r>
          <m:t>c</m:t>
        </m:r>
        <m:r>
          <m:t>a</m:t>
        </m:r>
        <m:r>
          <m:t>s</m:t>
        </m:r>
        <m:r>
          <m:t>h</m:t>
        </m:r>
        <m:r>
          <m:rPr>
            <m:sty m:val="p"/>
          </m:rPr>
          <m:t>,</m:t>
        </m:r>
        <m:r>
          <m:t>w</m:t>
        </m:r>
        <m:r>
          <m:t>h</m:t>
        </m:r>
        <m:r>
          <m:t>i</m:t>
        </m:r>
        <m:r>
          <m:t>l</m:t>
        </m:r>
        <m:r>
          <m:t>e</m:t>
        </m:r>
        <m:r>
          <m:t>a</m:t>
        </m:r>
        <m:r>
          <m:t>d</m:t>
        </m:r>
        <m:r>
          <m:t>d</m:t>
        </m:r>
        <m:r>
          <m:t>i</m:t>
        </m:r>
        <m:r>
          <m:t>n</m:t>
        </m:r>
        <m:r>
          <m:t>g</m:t>
        </m:r>
        <m:r>
          <m:t>a</m:t>
        </m:r>
        <m:r>
          <m:t>f</m:t>
        </m:r>
        <m:r>
          <m:t>u</m:t>
        </m:r>
        <m:r>
          <m:t>r</m:t>
        </m:r>
        <m:r>
          <m:t>t</m:t>
        </m:r>
        <m:r>
          <m:t>h</m:t>
        </m:r>
        <m:r>
          <m:t>e</m:t>
        </m:r>
        <m:r>
          <m:t>r</m:t>
        </m:r>
        <m:r>
          <m:rPr>
            <m:sty m:val="p"/>
          </m:rPr>
          <m:t>*</m:t>
        </m:r>
        <m:r>
          <m:rPr>
            <m:sty m:val="p"/>
          </m:rPr>
          <m:t>*</m:t>
        </m:r>
      </m:oMath>
      <w:r>
        <w:rPr>
          <w:b/>
          <w:bCs/>
        </w:rPr>
        <w:t xml:space="preserve">1B</w:t>
      </w:r>
      <w:r>
        <w:t xml:space="preserve"> </w:t>
      </w:r>
      <w:r>
        <w:t xml:space="preserve">repurchase authorization on top of its existing program.</w:t>
      </w:r>
    </w:p>
    <w:p>
      <w:pPr>
        <w:pStyle w:val="BodyText"/>
      </w:pPr>
      <w:r>
        <w:t xml:space="preserve">At March 31, TKO reported:</w:t>
      </w:r>
    </w:p>
    <w:p>
      <w:pPr>
        <w:pStyle w:val="Compact"/>
        <w:numPr>
          <w:ilvl w:val="0"/>
          <w:numId w:val="1007"/>
        </w:numPr>
      </w:pPr>
      <w:r>
        <w:rPr>
          <w:b/>
          <w:bCs/>
        </w:rPr>
        <w:t xml:space="preserve">$4.671B gross debt</w:t>
      </w:r>
    </w:p>
    <w:p>
      <w:pPr>
        <w:pStyle w:val="Compact"/>
        <w:numPr>
          <w:ilvl w:val="0"/>
          <w:numId w:val="1007"/>
        </w:numPr>
      </w:pPr>
      <w:r>
        <w:rPr>
          <w:b/>
          <w:bCs/>
        </w:rPr>
        <w:t xml:space="preserve">$788.9M cash and equivalents</w:t>
      </w:r>
    </w:p>
    <w:p>
      <w:pPr>
        <w:pStyle w:val="Compact"/>
        <w:numPr>
          <w:ilvl w:val="0"/>
          <w:numId w:val="1007"/>
        </w:numPr>
      </w:pPr>
      <w:r>
        <w:rPr>
          <w:b/>
          <w:bCs/>
        </w:rPr>
        <w:t xml:space="preserve">2.3x net leverage</w:t>
      </w:r>
      <w:r>
        <w:t xml:space="preserve">, based on LTM Adjusted EBITDA</w:t>
      </w:r>
    </w:p>
    <w:p>
      <w:pPr>
        <w:pStyle w:val="FirstParagraph"/>
      </w:pPr>
      <w:r>
        <w:t xml:space="preserve">Management has expressed comfort operating with higher leverage because of the company’s contracted media-rights base and expected earnings growth. Investors should look for:</w:t>
      </w:r>
    </w:p>
    <w:p>
      <w:pPr>
        <w:pStyle w:val="Compact"/>
        <w:numPr>
          <w:ilvl w:val="0"/>
          <w:numId w:val="1008"/>
        </w:numPr>
      </w:pPr>
      <w:r>
        <w:t xml:space="preserve">Completion details on the ASR;</w:t>
      </w:r>
    </w:p>
    <w:p>
      <w:pPr>
        <w:pStyle w:val="Compact"/>
        <w:numPr>
          <w:ilvl w:val="0"/>
          <w:numId w:val="1008"/>
        </w:numPr>
      </w:pPr>
      <w:r>
        <w:t xml:space="preserve">Progress under the subsequent</w:t>
      </w:r>
      <w:r>
        <w:t xml:space="preserve"> </w:t>
      </w:r>
      <w:r>
        <w:rPr>
          <w:b/>
          <w:bCs/>
        </w:rPr>
        <w:t xml:space="preserve">$200M 10b5-1</w:t>
      </w:r>
      <w:r>
        <w:t xml:space="preserve"> </w:t>
      </w:r>
      <w:r>
        <w:t xml:space="preserve">repurchase plan;</w:t>
      </w:r>
    </w:p>
    <w:p>
      <w:pPr>
        <w:pStyle w:val="Compact"/>
        <w:numPr>
          <w:ilvl w:val="0"/>
          <w:numId w:val="1008"/>
        </w:numPr>
      </w:pPr>
      <w:r>
        <w:t xml:space="preserve">Updated leverage and interest-expense outlook; and</w:t>
      </w:r>
    </w:p>
    <w:p>
      <w:pPr>
        <w:pStyle w:val="Compact"/>
        <w:numPr>
          <w:ilvl w:val="0"/>
          <w:numId w:val="1008"/>
        </w:numPr>
      </w:pPr>
      <w:r>
        <w:t xml:space="preserve">Confirmation that capital returns do not constrain investment in content, talent, FIPs, international expansion, or On Location opportunities.</w:t>
      </w:r>
    </w:p>
    <w:bookmarkEnd w:id="16"/>
    <w:bookmarkStart w:id="17" w:name="stock-context"/>
    <w:p>
      <w:pPr>
        <w:pStyle w:val="Heading2"/>
      </w:pPr>
      <w:r>
        <w:t xml:space="preserve">Stock context</w:t>
      </w:r>
    </w:p>
    <w:p>
      <w:pPr>
        <w:pStyle w:val="FirstParagraph"/>
      </w:pPr>
      <w:r>
        <w:t xml:space="preserve">TKO closed at</w:t>
      </w:r>
      <w:r>
        <w:t xml:space="preserve"> </w:t>
      </w:r>
      <w:r>
        <w:rPr>
          <w:b/>
          <w:bCs/>
        </w:rPr>
        <w:t xml:space="preserve">$181.84 on July 31</w:t>
      </w:r>
      <w:r>
        <w:t xml:space="preserve">, down about</w:t>
      </w:r>
      <w:r>
        <w:t xml:space="preserve"> </w:t>
      </w:r>
      <w:r>
        <w:rPr>
          <w:b/>
          <w:bCs/>
        </w:rPr>
        <w:t xml:space="preserve">16% from its June 26 closing high of $215.88</w:t>
      </w:r>
      <w:r>
        <w:t xml:space="preserve"> </w:t>
      </w:r>
      <w:r>
        <w:t xml:space="preserve">and roughly</w:t>
      </w:r>
      <w:r>
        <w:t xml:space="preserve"> </w:t>
      </w:r>
      <w:r>
        <w:rPr>
          <w:b/>
          <w:bCs/>
        </w:rPr>
        <w:t xml:space="preserve">5% below the May 6, post-1Q-results close of $190.47</w:t>
      </w:r>
      <w:r>
        <w:t xml:space="preserve">. The setup therefore appears more sensitive to confidence in forward EBITDA, guidance durability and capital-return execution than to a single reported quarterly metric.</w:t>
      </w:r>
    </w:p>
    <w:bookmarkEnd w:id="17"/>
    <w:bookmarkStart w:id="18" w:name="key-earnings-call-questions"/>
    <w:p>
      <w:pPr>
        <w:pStyle w:val="Heading2"/>
      </w:pPr>
      <w:r>
        <w:t xml:space="preserve">Key earnings-call questions</w:t>
      </w:r>
    </w:p>
    <w:p>
      <w:pPr>
        <w:pStyle w:val="Compact"/>
        <w:numPr>
          <w:ilvl w:val="0"/>
          <w:numId w:val="1009"/>
        </w:numPr>
      </w:pPr>
      <w:r>
        <w:rPr>
          <w:b/>
          <w:bCs/>
        </w:rPr>
        <w:t xml:space="preserve">Guidance:</w:t>
      </w:r>
      <w:r>
        <w:t xml:space="preserve"> </w:t>
      </w:r>
      <w:r>
        <w:t xml:space="preserve">Does TKO reaffirm the</w:t>
      </w:r>
      <w:r>
        <w:t xml:space="preserve"> </w:t>
      </w:r>
      <m:oMath>
        <m:r>
          <m:t>5.675</m:t>
        </m:r>
        <m:r>
          <m:t>B</m:t>
        </m:r>
        <m:r>
          <m:rPr>
            <m:sty m:val="p"/>
          </m:rPr>
          <m:t>–</m:t>
        </m:r>
      </m:oMath>
      <w:r>
        <w:t xml:space="preserve">5.775B revenue and</w:t>
      </w:r>
      <w:r>
        <w:t xml:space="preserve"> </w:t>
      </w:r>
      <m:oMath>
        <m:r>
          <m:t>2.240</m:t>
        </m:r>
        <m:r>
          <m:t>B</m:t>
        </m:r>
        <m:r>
          <m:rPr>
            <m:sty m:val="p"/>
          </m:rPr>
          <m:t>–</m:t>
        </m:r>
      </m:oMath>
      <w:r>
        <w:t xml:space="preserve">2.290B Adjusted EBITDA ranges, or is World Cup/WWE performance sufficient to raise them?</w:t>
      </w:r>
    </w:p>
    <w:p>
      <w:pPr>
        <w:pStyle w:val="Compact"/>
        <w:numPr>
          <w:ilvl w:val="0"/>
          <w:numId w:val="1009"/>
        </w:numPr>
      </w:pPr>
      <w:r>
        <w:rPr>
          <w:b/>
          <w:bCs/>
        </w:rPr>
        <w:t xml:space="preserve">WWE:</w:t>
      </w:r>
      <w:r>
        <w:t xml:space="preserve"> </w:t>
      </w:r>
      <w:r>
        <w:t xml:space="preserve">What were WrestleMania’s revenue, margin and FIP outcomes, and how durable is premium ticket and sponsorship demand?</w:t>
      </w:r>
    </w:p>
    <w:p>
      <w:pPr>
        <w:pStyle w:val="Compact"/>
        <w:numPr>
          <w:ilvl w:val="0"/>
          <w:numId w:val="1009"/>
        </w:numPr>
      </w:pPr>
      <w:r>
        <w:rPr>
          <w:b/>
          <w:bCs/>
        </w:rPr>
        <w:t xml:space="preserve">UFC:</w:t>
      </w:r>
      <w:r>
        <w:t xml:space="preserve"> </w:t>
      </w:r>
      <w:r>
        <w:t xml:space="preserve">Was Freedom 250’s financial loss in line with the planned ~$30M? What was the impact of the lower numbered-event mix?</w:t>
      </w:r>
    </w:p>
    <w:p>
      <w:pPr>
        <w:pStyle w:val="Compact"/>
        <w:numPr>
          <w:ilvl w:val="0"/>
          <w:numId w:val="1009"/>
        </w:numPr>
      </w:pPr>
      <w:r>
        <w:rPr>
          <w:b/>
          <w:bCs/>
        </w:rPr>
        <w:t xml:space="preserve">Media rights:</w:t>
      </w:r>
      <w:r>
        <w:t xml:space="preserve"> </w:t>
      </w:r>
      <w:r>
        <w:t xml:space="preserve">What operating evidence supports the expected long-term value of the Paramount, ESPN and Netflix partnerships—viewership, subscriber engagement, sponsorship, or merchandise?</w:t>
      </w:r>
    </w:p>
    <w:p>
      <w:pPr>
        <w:pStyle w:val="Compact"/>
        <w:numPr>
          <w:ilvl w:val="0"/>
          <w:numId w:val="1009"/>
        </w:numPr>
      </w:pPr>
      <w:r>
        <w:rPr>
          <w:b/>
          <w:bCs/>
        </w:rPr>
        <w:t xml:space="preserve">FIFA/On Location:</w:t>
      </w:r>
      <w:r>
        <w:t xml:space="preserve"> </w:t>
      </w:r>
      <w:r>
        <w:t xml:space="preserve">How much World Cup hospitality revenue was recognized in 2Q, what remains for the year, and how should investors think about cash-flow timing?</w:t>
      </w:r>
    </w:p>
    <w:p>
      <w:pPr>
        <w:pStyle w:val="Compact"/>
        <w:numPr>
          <w:ilvl w:val="0"/>
          <w:numId w:val="1009"/>
        </w:numPr>
      </w:pPr>
      <w:r>
        <w:rPr>
          <w:b/>
          <w:bCs/>
        </w:rPr>
        <w:t xml:space="preserve">Capital allocation:</w:t>
      </w:r>
      <w:r>
        <w:t xml:space="preserve"> </w:t>
      </w:r>
      <w:r>
        <w:t xml:space="preserve">How many shares were retired through the ASR, what repurchase capacity remains, and what is the updated leverage trajectory?</w:t>
      </w:r>
    </w:p>
    <w:p>
      <w:pPr>
        <w:pStyle w:val="Compact"/>
        <w:numPr>
          <w:ilvl w:val="0"/>
          <w:numId w:val="1009"/>
        </w:numPr>
      </w:pPr>
      <w:r>
        <w:rPr>
          <w:b/>
          <w:bCs/>
        </w:rPr>
        <w:t xml:space="preserve">Costs:</w:t>
      </w:r>
      <w:r>
        <w:t xml:space="preserve"> </w:t>
      </w:r>
      <w:r>
        <w:t xml:space="preserve">Are talent, athlete, production and international-event costs tracking within plan, particularly as TKO ramps UFC, WWE and Zuffa Boxing activity?</w:t>
      </w:r>
    </w:p>
    <w:bookmarkEnd w:id="18"/>
    <w:bookmarkStart w:id="19" w:name="bottom-line"/>
    <w:p>
      <w:pPr>
        <w:pStyle w:val="Heading2"/>
      </w:pPr>
      <w:r>
        <w:t xml:space="preserve">Bottom line</w:t>
      </w:r>
    </w:p>
    <w:p>
      <w:pPr>
        <w:pStyle w:val="FirstParagraph"/>
      </w:pPr>
      <w:r>
        <w:rPr>
          <w:b/>
          <w:bCs/>
        </w:rPr>
        <w:t xml:space="preserve">The 2Q report is positioned to validate TKO’s 2026 earnings inflection, but reported margins may be muddied by the planned UFC Freedom 250 loss and event timing.</w:t>
      </w:r>
      <w:r>
        <w:t xml:space="preserve"> </w:t>
      </w:r>
      <w:r>
        <w:t xml:space="preserve">WWE and FIFA/On Location should provide the primary upside, while the durability of the new media-rights economics and the company’s ability to maintain full-year guidance are the most consequential read-throughs.</w:t>
      </w:r>
    </w:p>
    <w:p>
      <w:pPr>
        <w:pStyle w:val="BodyText"/>
      </w:pPr>
      <w:r>
        <w:t xml:space="preserve">A constructive report would feature strong WWE profitability, solid World Cup commentary, an in-line Freedom 250 loss, continued FIP/sponsorship momentum, and at least a reaffirmation of guidance. The principal risk is that event-cost pressure, softer-than-expected experiential margins, or a more cautious outlook turns what is meant to be a high-growth year into a more back-end-loaded story.</w:t>
      </w:r>
    </w:p>
    <w:p>
      <w:pPr>
        <w:pStyle w:val="BodyText"/>
      </w:pPr>
      <w:r>
        <w:rPr>
          <w:i/>
          <w:iCs/>
        </w:rPr>
        <w:t xml:space="preserve">Sources reviewed: TKO’s 1Q26 earnings release and earnings-call transcript; TKO’s August 3, 2026 earnings announcement; TKO stock-price history through July 31,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2026-08-03T00:20:08Z</dcterms:created>
  <dcterms:modified xsi:type="dcterms:W3CDTF">2026-08-03T00:20:08Z</dcterms:modified>
</cp:coreProperties>
</file>

<file path=docProps/custom.xml><?xml version="1.0" encoding="utf-8"?>
<Properties xmlns="http://schemas.openxmlformats.org/officeDocument/2006/custom-properties" xmlns:vt="http://schemas.openxmlformats.org/officeDocument/2006/docPropsVTypes"/>
</file>