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TKO Group Holdings (NYSE: TKO)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Earnings Date</w:t>
            </w:r>
          </w:p>
        </w:tc>
        <w:tc>
          <w:tcPr>
            <w:tcW w:type="dxa" w:w="4320"/>
          </w:tcPr>
          <w:p>
            <w:r>
              <w:rPr>
                <w:rFonts w:ascii="Calibri" w:hAnsi="Calibri"/>
                <w:sz w:val="22"/>
              </w:rPr>
              <w:t>August 3,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August 2, 2026</w:t>
            </w:r>
          </w:p>
        </w:tc>
      </w:tr>
      <w:tr>
        <w:tc>
          <w:tcPr>
            <w:tcW w:type="dxa" w:w="4320"/>
          </w:tcPr>
          <w:p>
            <w:r>
              <w:rPr>
                <w:rFonts w:ascii="Calibri" w:hAnsi="Calibri"/>
                <w:b/>
                <w:sz w:val="22"/>
              </w:rPr>
              <w:t>Last Reported</w:t>
            </w:r>
          </w:p>
        </w:tc>
        <w:tc>
          <w:tcPr>
            <w:tcW w:type="dxa" w:w="4320"/>
          </w:tcPr>
          <w:p>
            <w:r>
              <w:rPr>
                <w:rFonts w:ascii="Calibri" w:hAnsi="Calibri"/>
                <w:sz w:val="22"/>
              </w:rPr>
              <w:t>Q1 2026 (May 6, 2026)</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b/>
          <w:color w:val="525866"/>
          <w:sz w:val="22"/>
        </w:rPr>
        <w:t xml:space="preserve">Q2 is set up as TKO’s most important quarter of the year — WWE’s WrestleMania + Saudi Arabia PLE + FIFA World Cup hospitality via On Location + Baku UFC FIP all converge, making this the </w:t>
      </w:r>
      <w:r>
        <w:rPr>
          <w:rFonts w:ascii="Calibri" w:hAnsi="Calibri"/>
          <w:b/>
          <w:color w:val="30A46C"/>
          <w:sz w:val="22"/>
        </w:rPr>
        <w:t>highest-revenue quarter of 2026</w:t>
      </w:r>
      <w:r>
        <w:rPr>
          <w:rFonts w:ascii="Calibri" w:hAnsi="Calibri"/>
          <w:b/>
          <w:color w:val="525866"/>
          <w:sz w:val="22"/>
        </w:rPr>
        <w:t xml:space="preserve">; the bar is achievable but the </w:t>
      </w:r>
      <w:r>
        <w:rPr>
          <w:rFonts w:ascii="Calibri" w:hAnsi="Calibri"/>
          <w:b/>
          <w:color w:val="E5484D"/>
          <w:sz w:val="22"/>
        </w:rPr>
        <w:t>~$30M UFC Freedom 250 loss</w:t>
      </w:r>
      <w:r>
        <w:rPr>
          <w:rFonts w:ascii="Calibri" w:hAnsi="Calibri"/>
          <w:b/>
          <w:color w:val="525866"/>
          <w:sz w:val="22"/>
        </w:rPr>
        <w:t xml:space="preserve"> is the key drag to watch.</w:t>
      </w:r>
    </w:p>
    <w:p>
      <w:r>
        <w:rPr>
          <w:rFonts w:ascii="Calibri" w:hAnsi="Calibri"/>
          <w:color w:val="525866"/>
          <w:sz w:val="22"/>
        </w:rPr>
        <w:t xml:space="preserve">Heading into Q2 2026, TKO faces its most event-dense quarter of the year, with WWE’s </w:t>
      </w:r>
      <w:r>
        <w:rPr>
          <w:rFonts w:ascii="Calibri" w:hAnsi="Calibri"/>
          <w:b/>
          <w:color w:val="525866"/>
          <w:sz w:val="22"/>
        </w:rPr>
        <w:t>WrestleMania and a Saudi Arabia Premium Live Event (PLE)</w:t>
      </w:r>
      <w:r>
        <w:rPr>
          <w:rFonts w:ascii="Calibri" w:hAnsi="Calibri"/>
          <w:color w:val="525866"/>
          <w:sz w:val="22"/>
        </w:rPr>
        <w:t xml:space="preserve"> anchoring the WWE segment, a </w:t>
      </w:r>
      <w:r>
        <w:rPr>
          <w:rFonts w:ascii="Calibri" w:hAnsi="Calibri"/>
          <w:b/>
          <w:color w:val="525866"/>
          <w:sz w:val="22"/>
        </w:rPr>
        <w:t>Baku Azerbaijan UFC Fight Night carrying a meaningful FIP</w:t>
      </w:r>
      <w:r>
        <w:rPr>
          <w:rFonts w:ascii="Calibri" w:hAnsi="Calibri"/>
          <w:color w:val="525866"/>
          <w:sz w:val="22"/>
        </w:rPr>
        <w:t xml:space="preserve">, and On Location’s </w:t>
      </w:r>
      <w:r>
        <w:rPr>
          <w:rFonts w:ascii="Calibri" w:hAnsi="Calibri"/>
          <w:b/>
          <w:color w:val="525866"/>
          <w:sz w:val="22"/>
        </w:rPr>
        <w:t>FIFA World Cup hospitality program</w:t>
      </w:r>
      <w:r>
        <w:rPr>
          <w:rFonts w:ascii="Calibri" w:hAnsi="Calibri"/>
          <w:color w:val="525866"/>
          <w:sz w:val="22"/>
        </w:rPr>
        <w:t xml:space="preserve"> driving the IMG segment — management explicitly called Q2 “by far the highest revenue and adjusted EBITDA quarter of the year in terms of absolute dollars.” The bar is moderately high: consensus sits at ~$1.53B revenue and ~$636M Adjusted EBITDA, both representing substantial YoY step-ups driven by the new Paramount and ESPN media rights deals. The key drag is the </w:t>
      </w:r>
      <w:r>
        <w:rPr>
          <w:rFonts w:ascii="Calibri" w:hAnsi="Calibri"/>
          <w:b/>
          <w:color w:val="525866"/>
          <w:sz w:val="22"/>
        </w:rPr>
        <w:t>~$30M net loss from UFC Freedom 250 at the White House</w:t>
      </w:r>
      <w:r>
        <w:rPr>
          <w:rFonts w:ascii="Calibri" w:hAnsi="Calibri"/>
          <w:color w:val="525866"/>
          <w:sz w:val="22"/>
        </w:rPr>
        <w:t xml:space="preserve">, which management pre-disclosed and is already embedded in guidance — the question is whether FIP revenue from Baku and Saudi Arabia, plus World Cup hospitality, can more than offset this headwind. Estimate revisions have been broadly stable since Q1 earnings, with revenue estimates essentially flat and EBITDA estimates slightly lower (~5%), suggesting the Street has already absorbed the Freedom 250 cost. The stock has </w:t>
      </w:r>
      <w:r>
        <w:rPr>
          <w:rFonts w:ascii="Calibri" w:hAnsi="Calibri"/>
          <w:b/>
          <w:color w:val="525866"/>
          <w:sz w:val="22"/>
        </w:rPr>
        <w:t>underperformed the S&amp;P 500 since Q1 earnings</w:t>
      </w:r>
      <w:r>
        <w:rPr>
          <w:rFonts w:ascii="Calibri" w:hAnsi="Calibri"/>
          <w:color w:val="525866"/>
          <w:sz w:val="22"/>
        </w:rPr>
        <w:t xml:space="preserve"> (down ~4.5% vs. SPY +1.8%), creating a modestly favorable setup if execution is clean. The wildcard is the </w:t>
      </w:r>
      <w:r>
        <w:rPr>
          <w:rFonts w:ascii="Calibri" w:hAnsi="Calibri"/>
          <w:b/>
          <w:color w:val="525866"/>
          <w:sz w:val="22"/>
        </w:rPr>
        <w:t>Paramount/WBD merger closing timeline</w:t>
      </w:r>
      <w:r>
        <w:rPr>
          <w:rFonts w:ascii="Calibri" w:hAnsi="Calibri"/>
          <w:color w:val="525866"/>
          <w:sz w:val="22"/>
        </w:rPr>
        <w:t xml:space="preserve"> (expected Q3 2026) and any color management provides on the combined entity’s appetite for UFC and Zuffa Boxing distribution expansion.</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Factor</w:t>
            </w:r>
          </w:p>
        </w:tc>
        <w:tc>
          <w:tcPr>
            <w:tcW w:type="dxa" w:w="4320"/>
            <w:shd w:val="clear" w:color="auto" w:fill="3B4259"/>
          </w:tcPr>
          <w:p>
            <w:r>
              <w:rPr>
                <w:rFonts w:ascii="Calibri" w:hAnsi="Calibri"/>
                <w:b/>
                <w:color w:val="FFFFFF"/>
                <w:sz w:val="22"/>
              </w:rPr>
              <w:t>Assessment</w:t>
            </w:r>
          </w:p>
        </w:tc>
      </w:tr>
      <w:tr>
        <w:tc>
          <w:tcPr>
            <w:tcW w:type="dxa" w:w="4320"/>
          </w:tcPr>
          <w:p>
            <w:r>
              <w:rPr>
                <w:rFonts w:ascii="Calibri" w:hAnsi="Calibri"/>
                <w:b/>
                <w:sz w:val="22"/>
              </w:rPr>
              <w:t>Bar</w:t>
            </w:r>
          </w:p>
        </w:tc>
        <w:tc>
          <w:tcPr>
            <w:tcW w:type="dxa" w:w="4320"/>
          </w:tcPr>
          <w:p>
            <w:r>
              <w:rPr>
                <w:rFonts w:ascii="Calibri" w:hAnsi="Calibri"/>
                <w:sz w:val="22"/>
              </w:rPr>
              <w:t>Consensus at ~$1.53B revenue and ~$636M Adj. EBITDA — achievable given management’s explicit Q2 guidance language, but the ~$30M Freedom 250 loss is a known headwind already embedded in guidance.</w:t>
            </w:r>
          </w:p>
        </w:tc>
      </w:tr>
      <w:tr>
        <w:tc>
          <w:tcPr>
            <w:tcW w:type="dxa" w:w="4320"/>
          </w:tcPr>
          <w:p>
            <w:r>
              <w:rPr>
                <w:rFonts w:ascii="Calibri" w:hAnsi="Calibri"/>
                <w:b/>
                <w:sz w:val="22"/>
              </w:rPr>
              <w:t>Guidance / Tone</w:t>
            </w:r>
          </w:p>
        </w:tc>
        <w:tc>
          <w:tcPr>
            <w:tcW w:type="dxa" w:w="4320"/>
          </w:tcPr>
          <w:p>
            <w:r>
              <w:rPr>
                <w:rFonts w:ascii="Calibri" w:hAnsi="Calibri"/>
                <w:sz w:val="22"/>
              </w:rPr>
              <w:t>Management reaffirmed full-year 2026 guidance on the Q1 call (revenue $5.675B–$5.775B, Adj. EBITDA $2.24B–$2.29B) and was explicit that Q2 would be the strongest quarter; tone was confident.</w:t>
            </w:r>
          </w:p>
        </w:tc>
      </w:tr>
      <w:tr>
        <w:tc>
          <w:tcPr>
            <w:tcW w:type="dxa" w:w="4320"/>
          </w:tcPr>
          <w:p>
            <w:r>
              <w:rPr>
                <w:rFonts w:ascii="Calibri" w:hAnsi="Calibri"/>
                <w:b/>
                <w:sz w:val="22"/>
              </w:rPr>
              <w:t>Estimate Trajectory</w:t>
            </w:r>
          </w:p>
        </w:tc>
        <w:tc>
          <w:tcPr>
            <w:tcW w:type="dxa" w:w="4320"/>
          </w:tcPr>
          <w:p>
            <w:r>
              <w:rPr>
                <w:rFonts w:ascii="Calibri" w:hAnsi="Calibri"/>
                <w:sz w:val="22"/>
              </w:rPr>
              <w:t>Revenue estimates essentially flat since Q1 earnings; EBITDA estimates slightly lower (~5% below post-Q1 baseline), suggesting the Street has absorbed the Freedom 250 drag.</w:t>
            </w:r>
          </w:p>
        </w:tc>
      </w:tr>
      <w:tr>
        <w:tc>
          <w:tcPr>
            <w:tcW w:type="dxa" w:w="4320"/>
          </w:tcPr>
          <w:p>
            <w:r>
              <w:rPr>
                <w:rFonts w:ascii="Calibri" w:hAnsi="Calibri"/>
                <w:b/>
                <w:sz w:val="22"/>
              </w:rPr>
              <w:t>Stock Setup</w:t>
            </w:r>
          </w:p>
        </w:tc>
        <w:tc>
          <w:tcPr>
            <w:tcW w:type="dxa" w:w="4320"/>
          </w:tcPr>
          <w:p>
            <w:r>
              <w:rPr>
                <w:rFonts w:ascii="Calibri" w:hAnsi="Calibri"/>
                <w:sz w:val="22"/>
              </w:rPr>
              <w:t>TKO has underperformed SPY since Q1 earnings (indexed ~95.5 vs. SPY ~101.8), suggesting the stock has not priced in a beat — a clean execution quarter could be a catalyst.</w:t>
            </w:r>
          </w:p>
        </w:tc>
      </w:tr>
      <w:tr>
        <w:tc>
          <w:tcPr>
            <w:tcW w:type="dxa" w:w="4320"/>
          </w:tcPr>
          <w:p>
            <w:r>
              <w:rPr>
                <w:rFonts w:ascii="Calibri" w:hAnsi="Calibri"/>
                <w:b/>
                <w:sz w:val="22"/>
              </w:rPr>
              <w:t>Wildcard</w:t>
            </w:r>
          </w:p>
        </w:tc>
        <w:tc>
          <w:tcPr>
            <w:tcW w:type="dxa" w:w="4320"/>
          </w:tcPr>
          <w:p>
            <w:r>
              <w:rPr>
                <w:rFonts w:ascii="Calibri" w:hAnsi="Calibri"/>
                <w:sz w:val="22"/>
              </w:rPr>
              <w:t>Paramount/WBD merger color and any update on Zuffa Boxing’s second equity tranche milestone could move the stock beyond the headline print.</w:t>
            </w:r>
          </w:p>
        </w:tc>
      </w:tr>
    </w:tbl>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Q2 is the highest-revenue quarter of the year; </w:t>
      </w:r>
      <w:r>
        <w:rPr>
          <w:rFonts w:ascii="Calibri" w:hAnsi="Calibri"/>
          <w:b/>
          <w:color w:val="525866"/>
          <w:sz w:val="22"/>
        </w:rPr>
        <w:t>WWE is the biggest swing factor</w:t>
      </w:r>
      <w:r>
        <w:rPr>
          <w:rFonts w:ascii="Calibri" w:hAnsi="Calibri"/>
          <w:color w:val="525866"/>
          <w:sz w:val="22"/>
        </w:rPr>
        <w:t xml:space="preserve"> given WrestleMania + Saudi PLE stacking, while the </w:t>
      </w:r>
      <w:r>
        <w:rPr>
          <w:rFonts w:ascii="Calibri" w:hAnsi="Calibri"/>
          <w:b/>
          <w:color w:val="525866"/>
          <w:sz w:val="22"/>
        </w:rPr>
        <w:t>~$30M Freedom 250 loss</w:t>
      </w:r>
      <w:r>
        <w:rPr>
          <w:rFonts w:ascii="Calibri" w:hAnsi="Calibri"/>
          <w:color w:val="525866"/>
          <w:sz w:val="22"/>
        </w:rPr>
        <w:t xml:space="preserve"> is the known EBITDA drag. Consensus appears achievable but not a low bar.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Revenue</w:t>
            </w:r>
          </w:p>
        </w:tc>
        <w:tc>
          <w:tcPr>
            <w:tcW w:type="dxa" w:w="1234"/>
          </w:tcPr>
          <w:p>
            <w:r>
              <w:rPr>
                <w:rFonts w:ascii="Calibri" w:hAnsi="Calibri"/>
                <w:sz w:val="22"/>
              </w:rPr>
              <w:t>$1,596.9M</w:t>
            </w:r>
          </w:p>
        </w:tc>
        <w:tc>
          <w:tcPr>
            <w:tcW w:type="dxa" w:w="1234"/>
          </w:tcPr>
          <w:p>
            <w:r>
              <w:rPr>
                <w:rFonts w:ascii="Calibri" w:hAnsi="Calibri"/>
                <w:sz w:val="22"/>
              </w:rPr>
              <w:t>$1,308.4M</w:t>
            </w:r>
          </w:p>
        </w:tc>
        <w:tc>
          <w:tcPr>
            <w:tcW w:type="dxa" w:w="1234"/>
          </w:tcPr>
          <w:p>
            <w:r>
              <w:rPr>
                <w:rFonts w:ascii="Calibri" w:hAnsi="Calibri"/>
                <w:sz w:val="22"/>
              </w:rPr>
              <w:t>$1,529.6M</w:t>
            </w:r>
          </w:p>
        </w:tc>
        <w:tc>
          <w:tcPr>
            <w:tcW w:type="dxa" w:w="1234"/>
          </w:tcPr>
          <w:p>
            <w:r>
              <w:rPr>
                <w:rFonts w:ascii="Calibri" w:hAnsi="Calibri"/>
                <w:b/>
                <w:color w:val="30A46C"/>
                <w:sz w:val="22"/>
              </w:rPr>
              <w:t>+16.9%</w:t>
            </w:r>
          </w:p>
        </w:tc>
        <w:tc>
          <w:tcPr>
            <w:tcW w:type="dxa" w:w="1234"/>
          </w:tcPr>
          <w:p>
            <w:r>
              <w:rPr>
                <w:rFonts w:ascii="Calibri" w:hAnsi="Calibri"/>
                <w:sz w:val="22"/>
              </w:rPr>
              <w:t>No formal Q guidance</w:t>
            </w:r>
          </w:p>
        </w:tc>
        <w:tc>
          <w:tcPr>
            <w:tcW w:type="dxa" w:w="1234"/>
          </w:tcPr>
          <w:p>
            <w:r>
              <w:rPr>
                <w:rFonts w:ascii="Calibri" w:hAnsi="Calibri"/>
                <w:sz w:val="22"/>
              </w:rPr>
              <w:t>N/A</w:t>
            </w:r>
          </w:p>
        </w:tc>
      </w:tr>
      <w:tr>
        <w:tc>
          <w:tcPr>
            <w:tcW w:type="dxa" w:w="1234"/>
          </w:tcPr>
          <w:p>
            <w:r>
              <w:rPr>
                <w:rFonts w:ascii="Calibri" w:hAnsi="Calibri"/>
                <w:sz w:val="22"/>
              </w:rPr>
              <w:t>Adjusted EBITDA</w:t>
            </w:r>
          </w:p>
        </w:tc>
        <w:tc>
          <w:tcPr>
            <w:tcW w:type="dxa" w:w="1234"/>
          </w:tcPr>
          <w:p>
            <w:r>
              <w:rPr>
                <w:rFonts w:ascii="Calibri" w:hAnsi="Calibri"/>
                <w:sz w:val="22"/>
              </w:rPr>
              <w:t>$549.8M</w:t>
            </w:r>
          </w:p>
        </w:tc>
        <w:tc>
          <w:tcPr>
            <w:tcW w:type="dxa" w:w="1234"/>
          </w:tcPr>
          <w:p>
            <w:r>
              <w:rPr>
                <w:rFonts w:ascii="Calibri" w:hAnsi="Calibri"/>
                <w:sz w:val="22"/>
              </w:rPr>
              <w:t>$526.5M</w:t>
            </w:r>
          </w:p>
        </w:tc>
        <w:tc>
          <w:tcPr>
            <w:tcW w:type="dxa" w:w="1234"/>
          </w:tcPr>
          <w:p>
            <w:r>
              <w:rPr>
                <w:rFonts w:ascii="Calibri" w:hAnsi="Calibri"/>
                <w:sz w:val="22"/>
              </w:rPr>
              <w:t>$636.2M</w:t>
            </w:r>
          </w:p>
        </w:tc>
        <w:tc>
          <w:tcPr>
            <w:tcW w:type="dxa" w:w="1234"/>
          </w:tcPr>
          <w:p>
            <w:r>
              <w:rPr>
                <w:rFonts w:ascii="Calibri" w:hAnsi="Calibri"/>
                <w:b/>
                <w:color w:val="30A46C"/>
                <w:sz w:val="22"/>
              </w:rPr>
              <w:t>+20.8%</w:t>
            </w:r>
          </w:p>
        </w:tc>
        <w:tc>
          <w:tcPr>
            <w:tcW w:type="dxa" w:w="1234"/>
          </w:tcPr>
          <w:p>
            <w:r>
              <w:rPr>
                <w:rFonts w:ascii="Calibri" w:hAnsi="Calibri"/>
                <w:sz w:val="22"/>
              </w:rPr>
              <w:t>No formal Q guidance</w:t>
            </w:r>
          </w:p>
        </w:tc>
        <w:tc>
          <w:tcPr>
            <w:tcW w:type="dxa" w:w="1234"/>
          </w:tcPr>
          <w:p>
            <w:r>
              <w:rPr>
                <w:rFonts w:ascii="Calibri" w:hAnsi="Calibri"/>
                <w:sz w:val="22"/>
              </w:rPr>
              <w:t>N/A</w:t>
            </w:r>
          </w:p>
        </w:tc>
      </w:tr>
      <w:tr>
        <w:tc>
          <w:tcPr>
            <w:tcW w:type="dxa" w:w="1234"/>
          </w:tcPr>
          <w:p>
            <w:r>
              <w:rPr>
                <w:rFonts w:ascii="Calibri" w:hAnsi="Calibri"/>
                <w:sz w:val="22"/>
              </w:rPr>
              <w:t>EPS (Diluted)</w:t>
            </w:r>
          </w:p>
        </w:tc>
        <w:tc>
          <w:tcPr>
            <w:tcW w:type="dxa" w:w="1234"/>
          </w:tcPr>
          <w:p>
            <w:r>
              <w:rPr>
                <w:rFonts w:ascii="Calibri" w:hAnsi="Calibri"/>
                <w:sz w:val="22"/>
              </w:rPr>
              <w:t>$1.12</w:t>
            </w:r>
          </w:p>
        </w:tc>
        <w:tc>
          <w:tcPr>
            <w:tcW w:type="dxa" w:w="1234"/>
          </w:tcPr>
          <w:p>
            <w:r>
              <w:rPr>
                <w:rFonts w:ascii="Calibri" w:hAnsi="Calibri"/>
                <w:sz w:val="22"/>
              </w:rPr>
              <w:t>$0.49</w:t>
            </w:r>
          </w:p>
        </w:tc>
        <w:tc>
          <w:tcPr>
            <w:tcW w:type="dxa" w:w="1234"/>
          </w:tcPr>
          <w:p>
            <w:r>
              <w:rPr>
                <w:rFonts w:ascii="Calibri" w:hAnsi="Calibri"/>
                <w:sz w:val="22"/>
              </w:rPr>
              <w:t>$0.84</w:t>
            </w:r>
          </w:p>
        </w:tc>
        <w:tc>
          <w:tcPr>
            <w:tcW w:type="dxa" w:w="1234"/>
          </w:tcPr>
          <w:p>
            <w:r>
              <w:rPr>
                <w:rFonts w:ascii="Calibri" w:hAnsi="Calibri"/>
                <w:b/>
                <w:color w:val="30A46C"/>
                <w:sz w:val="22"/>
              </w:rPr>
              <w:t>+71.4%</w:t>
            </w:r>
          </w:p>
        </w:tc>
        <w:tc>
          <w:tcPr>
            <w:tcW w:type="dxa" w:w="1234"/>
          </w:tcPr>
          <w:p>
            <w:r>
              <w:rPr>
                <w:rFonts w:ascii="Calibri" w:hAnsi="Calibri"/>
                <w:sz w:val="22"/>
              </w:rPr>
              <w:t>No formal Q guidance</w:t>
            </w:r>
          </w:p>
        </w:tc>
        <w:tc>
          <w:tcPr>
            <w:tcW w:type="dxa" w:w="1234"/>
          </w:tcPr>
          <w:p>
            <w:r>
              <w:rPr>
                <w:rFonts w:ascii="Calibri" w:hAnsi="Calibri"/>
                <w:sz w:val="22"/>
              </w:rPr>
              <w:t>N/A</w:t>
            </w:r>
          </w:p>
        </w:tc>
      </w:tr>
      <w:tr>
        <w:tc>
          <w:tcPr>
            <w:tcW w:type="dxa" w:w="1234"/>
          </w:tcPr>
          <w:p>
            <w:r>
              <w:rPr>
                <w:rFonts w:ascii="Calibri" w:hAnsi="Calibri"/>
                <w:sz w:val="22"/>
              </w:rPr>
              <w:t>Revenue – Media Division</w:t>
            </w:r>
          </w:p>
        </w:tc>
        <w:tc>
          <w:tcPr>
            <w:tcW w:type="dxa" w:w="1234"/>
          </w:tcPr>
          <w:p>
            <w:r>
              <w:rPr>
                <w:rFonts w:ascii="Calibri" w:hAnsi="Calibri"/>
                <w:sz w:val="22"/>
              </w:rPr>
              <w:t>$726.1M</w:t>
            </w:r>
          </w:p>
        </w:tc>
        <w:tc>
          <w:tcPr>
            <w:tcW w:type="dxa" w:w="1234"/>
          </w:tcPr>
          <w:p>
            <w:r>
              <w:rPr>
                <w:rFonts w:ascii="Calibri" w:hAnsi="Calibri"/>
                <w:sz w:val="22"/>
              </w:rPr>
              <w:t>$707.5M</w:t>
            </w:r>
          </w:p>
        </w:tc>
        <w:tc>
          <w:tcPr>
            <w:tcW w:type="dxa" w:w="1234"/>
          </w:tcPr>
          <w:p>
            <w:r>
              <w:rPr>
                <w:rFonts w:ascii="Calibri" w:hAnsi="Calibri"/>
                <w:sz w:val="22"/>
              </w:rPr>
              <w:t>$845.5M</w:t>
            </w:r>
          </w:p>
        </w:tc>
        <w:tc>
          <w:tcPr>
            <w:tcW w:type="dxa" w:w="1234"/>
          </w:tcPr>
          <w:p>
            <w:r>
              <w:rPr>
                <w:rFonts w:ascii="Calibri" w:hAnsi="Calibri"/>
                <w:b/>
                <w:color w:val="30A46C"/>
                <w:sz w:val="22"/>
              </w:rPr>
              <w:t>+19.5%</w:t>
            </w:r>
          </w:p>
        </w:tc>
        <w:tc>
          <w:tcPr>
            <w:tcW w:type="dxa" w:w="1234"/>
          </w:tcPr>
          <w:p>
            <w:r>
              <w:rPr>
                <w:rFonts w:ascii="Calibri" w:hAnsi="Calibri"/>
                <w:sz w:val="22"/>
              </w:rPr>
              <w:t>Paramount + ESPN step-up</w:t>
            </w:r>
          </w:p>
        </w:tc>
        <w:tc>
          <w:tcPr>
            <w:tcW w:type="dxa" w:w="1234"/>
          </w:tcPr>
          <w:p>
            <w:r>
              <w:rPr>
                <w:rFonts w:ascii="Calibri" w:hAnsi="Calibri"/>
                <w:sz w:val="22"/>
              </w:rPr>
              <w:t>N/A</w:t>
            </w:r>
          </w:p>
        </w:tc>
      </w:tr>
      <w:tr>
        <w:tc>
          <w:tcPr>
            <w:tcW w:type="dxa" w:w="1234"/>
          </w:tcPr>
          <w:p>
            <w:r>
              <w:rPr>
                <w:rFonts w:ascii="Calibri" w:hAnsi="Calibri"/>
                <w:sz w:val="22"/>
              </w:rPr>
              <w:t>Revenue – Live Events</w:t>
            </w:r>
          </w:p>
        </w:tc>
        <w:tc>
          <w:tcPr>
            <w:tcW w:type="dxa" w:w="1234"/>
          </w:tcPr>
          <w:p>
            <w:r>
              <w:rPr>
                <w:rFonts w:ascii="Calibri" w:hAnsi="Calibri"/>
                <w:sz w:val="22"/>
              </w:rPr>
              <w:t>$672.7M</w:t>
            </w:r>
          </w:p>
        </w:tc>
        <w:tc>
          <w:tcPr>
            <w:tcW w:type="dxa" w:w="1234"/>
          </w:tcPr>
          <w:p>
            <w:r>
              <w:rPr>
                <w:rFonts w:ascii="Calibri" w:hAnsi="Calibri"/>
                <w:sz w:val="22"/>
              </w:rPr>
              <w:t>$394.7M</w:t>
            </w:r>
          </w:p>
        </w:tc>
        <w:tc>
          <w:tcPr>
            <w:tcW w:type="dxa" w:w="1234"/>
          </w:tcPr>
          <w:p>
            <w:r>
              <w:rPr>
                <w:rFonts w:ascii="Calibri" w:hAnsi="Calibri"/>
                <w:sz w:val="22"/>
              </w:rPr>
              <w:t>$442.3M</w:t>
            </w:r>
          </w:p>
        </w:tc>
        <w:tc>
          <w:tcPr>
            <w:tcW w:type="dxa" w:w="1234"/>
          </w:tcPr>
          <w:p>
            <w:r>
              <w:rPr>
                <w:rFonts w:ascii="Calibri" w:hAnsi="Calibri"/>
                <w:b/>
                <w:color w:val="30A46C"/>
                <w:sz w:val="22"/>
              </w:rPr>
              <w:t>+12.1%</w:t>
            </w:r>
          </w:p>
        </w:tc>
        <w:tc>
          <w:tcPr>
            <w:tcW w:type="dxa" w:w="1234"/>
          </w:tcPr>
          <w:p>
            <w:r>
              <w:rPr>
                <w:rFonts w:ascii="Calibri" w:hAnsi="Calibri"/>
                <w:sz w:val="22"/>
              </w:rPr>
              <w:t>WrestleMania + Saudi PLE + Baku FIP</w:t>
            </w:r>
          </w:p>
        </w:tc>
        <w:tc>
          <w:tcPr>
            <w:tcW w:type="dxa" w:w="1234"/>
          </w:tcPr>
          <w:p>
            <w:r>
              <w:rPr>
                <w:rFonts w:ascii="Calibri" w:hAnsi="Calibri"/>
                <w:sz w:val="22"/>
              </w:rPr>
              <w:t>N/A</w:t>
            </w:r>
          </w:p>
        </w:tc>
      </w:tr>
      <w:tr>
        <w:tc>
          <w:tcPr>
            <w:tcW w:type="dxa" w:w="1234"/>
          </w:tcPr>
          <w:p>
            <w:r>
              <w:rPr>
                <w:rFonts w:ascii="Calibri" w:hAnsi="Calibri"/>
                <w:sz w:val="22"/>
              </w:rPr>
              <w:t>Revenue – Partnerships &amp; Marketing</w:t>
            </w:r>
          </w:p>
        </w:tc>
        <w:tc>
          <w:tcPr>
            <w:tcW w:type="dxa" w:w="1234"/>
          </w:tcPr>
          <w:p>
            <w:r>
              <w:rPr>
                <w:rFonts w:ascii="Calibri" w:hAnsi="Calibri"/>
                <w:sz w:val="22"/>
              </w:rPr>
              <w:t>$131.1M</w:t>
            </w:r>
          </w:p>
        </w:tc>
        <w:tc>
          <w:tcPr>
            <w:tcW w:type="dxa" w:w="1234"/>
          </w:tcPr>
          <w:p>
            <w:r>
              <w:rPr>
                <w:rFonts w:ascii="Calibri" w:hAnsi="Calibri"/>
                <w:sz w:val="22"/>
              </w:rPr>
              <w:t>$163.7M</w:t>
            </w:r>
          </w:p>
        </w:tc>
        <w:tc>
          <w:tcPr>
            <w:tcW w:type="dxa" w:w="1234"/>
          </w:tcPr>
          <w:p>
            <w:r>
              <w:rPr>
                <w:rFonts w:ascii="Calibri" w:hAnsi="Calibri"/>
                <w:sz w:val="22"/>
              </w:rPr>
              <w:t>$198.7M</w:t>
            </w:r>
          </w:p>
        </w:tc>
        <w:tc>
          <w:tcPr>
            <w:tcW w:type="dxa" w:w="1234"/>
          </w:tcPr>
          <w:p>
            <w:r>
              <w:rPr>
                <w:rFonts w:ascii="Calibri" w:hAnsi="Calibri"/>
                <w:b/>
                <w:color w:val="30A46C"/>
                <w:sz w:val="22"/>
              </w:rPr>
              <w:t>+21.4%</w:t>
            </w:r>
          </w:p>
        </w:tc>
        <w:tc>
          <w:tcPr>
            <w:tcW w:type="dxa" w:w="1234"/>
          </w:tcPr>
          <w:p>
            <w:r>
              <w:rPr>
                <w:rFonts w:ascii="Calibri" w:hAnsi="Calibri"/>
                <w:sz w:val="22"/>
              </w:rPr>
              <w:t>Tracking to $450M FY target</w:t>
            </w:r>
          </w:p>
        </w:tc>
        <w:tc>
          <w:tcPr>
            <w:tcW w:type="dxa" w:w="1234"/>
          </w:tcPr>
          <w:p>
            <w:r>
              <w:rPr>
                <w:rFonts w:ascii="Calibri" w:hAnsi="Calibri"/>
                <w:sz w:val="22"/>
              </w:rPr>
              <w:t>N/A</w:t>
            </w:r>
          </w:p>
        </w:tc>
      </w:tr>
      <w:tr>
        <w:tc>
          <w:tcPr>
            <w:tcW w:type="dxa" w:w="1234"/>
          </w:tcPr>
          <w:p>
            <w:r>
              <w:rPr>
                <w:rFonts w:ascii="Calibri" w:hAnsi="Calibri"/>
                <w:sz w:val="22"/>
              </w:rPr>
              <w:t>Revenue – UFC</w:t>
            </w:r>
          </w:p>
        </w:tc>
        <w:tc>
          <w:tcPr>
            <w:tcW w:type="dxa" w:w="1234"/>
          </w:tcPr>
          <w:p>
            <w:r>
              <w:rPr>
                <w:rFonts w:ascii="Calibri" w:hAnsi="Calibri"/>
                <w:sz w:val="22"/>
              </w:rPr>
              <w:t>$401.2M</w:t>
            </w:r>
          </w:p>
        </w:tc>
        <w:tc>
          <w:tcPr>
            <w:tcW w:type="dxa" w:w="1234"/>
          </w:tcPr>
          <w:p>
            <w:r>
              <w:rPr>
                <w:rFonts w:ascii="Calibri" w:hAnsi="Calibri"/>
                <w:sz w:val="22"/>
              </w:rPr>
              <w:t>$415.9M</w:t>
            </w:r>
          </w:p>
        </w:tc>
        <w:tc>
          <w:tcPr>
            <w:tcW w:type="dxa" w:w="1234"/>
          </w:tcPr>
          <w:p>
            <w:r>
              <w:rPr>
                <w:rFonts w:ascii="Calibri" w:hAnsi="Calibri"/>
                <w:sz w:val="22"/>
              </w:rPr>
              <w:t>$512.7M</w:t>
            </w:r>
          </w:p>
        </w:tc>
        <w:tc>
          <w:tcPr>
            <w:tcW w:type="dxa" w:w="1234"/>
          </w:tcPr>
          <w:p>
            <w:r>
              <w:rPr>
                <w:rFonts w:ascii="Calibri" w:hAnsi="Calibri"/>
                <w:b/>
                <w:color w:val="30A46C"/>
                <w:sz w:val="22"/>
              </w:rPr>
              <w:t>+23.3%</w:t>
            </w:r>
          </w:p>
        </w:tc>
        <w:tc>
          <w:tcPr>
            <w:tcW w:type="dxa" w:w="1234"/>
          </w:tcPr>
          <w:p>
            <w:r>
              <w:rPr>
                <w:rFonts w:ascii="Calibri" w:hAnsi="Calibri"/>
                <w:sz w:val="22"/>
              </w:rPr>
              <w:t>Paramount step-up + Baku FIP</w:t>
            </w:r>
          </w:p>
        </w:tc>
        <w:tc>
          <w:tcPr>
            <w:tcW w:type="dxa" w:w="1234"/>
          </w:tcPr>
          <w:p>
            <w:r>
              <w:rPr>
                <w:rFonts w:ascii="Calibri" w:hAnsi="Calibri"/>
                <w:sz w:val="22"/>
              </w:rPr>
              <w:t>N/A</w:t>
            </w:r>
          </w:p>
        </w:tc>
      </w:tr>
      <w:tr>
        <w:tc>
          <w:tcPr>
            <w:tcW w:type="dxa" w:w="1234"/>
          </w:tcPr>
          <w:p>
            <w:r>
              <w:rPr>
                <w:rFonts w:ascii="Calibri" w:hAnsi="Calibri"/>
                <w:sz w:val="22"/>
              </w:rPr>
              <w:t>Revenue – WWE</w:t>
            </w:r>
          </w:p>
        </w:tc>
        <w:tc>
          <w:tcPr>
            <w:tcW w:type="dxa" w:w="1234"/>
          </w:tcPr>
          <w:p>
            <w:r>
              <w:rPr>
                <w:rFonts w:ascii="Calibri" w:hAnsi="Calibri"/>
                <w:sz w:val="22"/>
              </w:rPr>
              <w:t>$475.7M</w:t>
            </w:r>
          </w:p>
        </w:tc>
        <w:tc>
          <w:tcPr>
            <w:tcW w:type="dxa" w:w="1234"/>
          </w:tcPr>
          <w:p>
            <w:r>
              <w:rPr>
                <w:rFonts w:ascii="Calibri" w:hAnsi="Calibri"/>
                <w:sz w:val="22"/>
              </w:rPr>
              <w:t>$556.2M</w:t>
            </w:r>
          </w:p>
        </w:tc>
        <w:tc>
          <w:tcPr>
            <w:tcW w:type="dxa" w:w="1234"/>
          </w:tcPr>
          <w:p>
            <w:r>
              <w:rPr>
                <w:rFonts w:ascii="Calibri" w:hAnsi="Calibri"/>
                <w:sz w:val="22"/>
              </w:rPr>
              <w:t>$619.7M</w:t>
            </w:r>
          </w:p>
        </w:tc>
        <w:tc>
          <w:tcPr>
            <w:tcW w:type="dxa" w:w="1234"/>
          </w:tcPr>
          <w:p>
            <w:r>
              <w:rPr>
                <w:rFonts w:ascii="Calibri" w:hAnsi="Calibri"/>
                <w:b/>
                <w:color w:val="30A46C"/>
                <w:sz w:val="22"/>
              </w:rPr>
              <w:t>+11.4%</w:t>
            </w:r>
          </w:p>
        </w:tc>
        <w:tc>
          <w:tcPr>
            <w:tcW w:type="dxa" w:w="1234"/>
          </w:tcPr>
          <w:p>
            <w:r>
              <w:rPr>
                <w:rFonts w:ascii="Calibri" w:hAnsi="Calibri"/>
                <w:sz w:val="22"/>
              </w:rPr>
              <w:t>WrestleMania + Saudi PLE + ESPN step-up</w:t>
            </w:r>
          </w:p>
        </w:tc>
        <w:tc>
          <w:tcPr>
            <w:tcW w:type="dxa" w:w="1234"/>
          </w:tcPr>
          <w:p>
            <w:r>
              <w:rPr>
                <w:rFonts w:ascii="Calibri" w:hAnsi="Calibri"/>
                <w:sz w:val="22"/>
              </w:rPr>
              <w:t>N/A</w:t>
            </w:r>
          </w:p>
        </w:tc>
      </w:tr>
      <w:tr>
        <w:tc>
          <w:tcPr>
            <w:tcW w:type="dxa" w:w="1234"/>
          </w:tcPr>
          <w:p>
            <w:r>
              <w:rPr>
                <w:rFonts w:ascii="Calibri" w:hAnsi="Calibri"/>
                <w:sz w:val="22"/>
              </w:rPr>
              <w:t>Revenue – IMG</w:t>
            </w:r>
          </w:p>
        </w:tc>
        <w:tc>
          <w:tcPr>
            <w:tcW w:type="dxa" w:w="1234"/>
          </w:tcPr>
          <w:p>
            <w:r>
              <w:rPr>
                <w:rFonts w:ascii="Calibri" w:hAnsi="Calibri"/>
                <w:sz w:val="22"/>
              </w:rPr>
              <w:t>$655.4M</w:t>
            </w:r>
          </w:p>
        </w:tc>
        <w:tc>
          <w:tcPr>
            <w:tcW w:type="dxa" w:w="1234"/>
          </w:tcPr>
          <w:p>
            <w:r>
              <w:rPr>
                <w:rFonts w:ascii="Calibri" w:hAnsi="Calibri"/>
                <w:sz w:val="22"/>
              </w:rPr>
              <w:t>$306.6M</w:t>
            </w:r>
          </w:p>
        </w:tc>
        <w:tc>
          <w:tcPr>
            <w:tcW w:type="dxa" w:w="1234"/>
          </w:tcPr>
          <w:p>
            <w:r>
              <w:rPr>
                <w:rFonts w:ascii="Calibri" w:hAnsi="Calibri"/>
                <w:sz w:val="22"/>
              </w:rPr>
              <w:t>$352.5M</w:t>
            </w:r>
          </w:p>
        </w:tc>
        <w:tc>
          <w:tcPr>
            <w:tcW w:type="dxa" w:w="1234"/>
          </w:tcPr>
          <w:p>
            <w:r>
              <w:rPr>
                <w:rFonts w:ascii="Calibri" w:hAnsi="Calibri"/>
                <w:b/>
                <w:color w:val="30A46C"/>
                <w:sz w:val="22"/>
              </w:rPr>
              <w:t>+14.9%</w:t>
            </w:r>
          </w:p>
        </w:tc>
        <w:tc>
          <w:tcPr>
            <w:tcW w:type="dxa" w:w="1234"/>
          </w:tcPr>
          <w:p>
            <w:r>
              <w:rPr>
                <w:rFonts w:ascii="Calibri" w:hAnsi="Calibri"/>
                <w:sz w:val="22"/>
              </w:rPr>
              <w:t>World Cup hospitality via On Location</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$674.5M</w:t>
            </w:r>
          </w:p>
        </w:tc>
        <w:tc>
          <w:tcPr>
            <w:tcW w:type="dxa" w:w="1234"/>
          </w:tcPr>
          <w:p>
            <w:r>
              <w:rPr>
                <w:rFonts w:ascii="Calibri" w:hAnsi="Calibri"/>
                <w:sz w:val="22"/>
              </w:rPr>
              <w:t>$374.9M</w:t>
            </w:r>
          </w:p>
        </w:tc>
        <w:tc>
          <w:tcPr>
            <w:tcW w:type="dxa" w:w="1234"/>
          </w:tcPr>
          <w:p>
            <w:r>
              <w:rPr>
                <w:rFonts w:ascii="Calibri" w:hAnsi="Calibri"/>
                <w:sz w:val="22"/>
              </w:rPr>
              <w:t>$277.7M</w:t>
            </w:r>
          </w:p>
        </w:tc>
        <w:tc>
          <w:tcPr>
            <w:tcW w:type="dxa" w:w="1234"/>
          </w:tcPr>
          <w:p>
            <w:r>
              <w:rPr>
                <w:rFonts w:ascii="Calibri" w:hAnsi="Calibri"/>
                <w:b/>
                <w:color w:val="E5484D"/>
                <w:sz w:val="22"/>
              </w:rPr>
              <w:t>-25.9%</w:t>
            </w:r>
          </w:p>
        </w:tc>
        <w:tc>
          <w:tcPr>
            <w:tcW w:type="dxa" w:w="1234"/>
          </w:tcPr>
          <w:p>
            <w:r>
              <w:rPr>
                <w:rFonts w:ascii="Calibri" w:hAnsi="Calibri"/>
                <w:sz w:val="22"/>
              </w:rPr>
              <w:t>FCF conversion &gt;60% target (normalized)</w:t>
            </w:r>
          </w:p>
        </w:tc>
        <w:tc>
          <w:tcPr>
            <w:tcW w:type="dxa" w:w="1234"/>
          </w:tcPr>
          <w:p>
            <w:r>
              <w:rPr>
                <w:rFonts w:ascii="Calibri" w:hAnsi="Calibri"/>
                <w:sz w:val="22"/>
              </w:rPr>
              <w:t>N/A</w:t>
            </w:r>
          </w:p>
        </w:tc>
      </w:tr>
    </w:tbl>
    <w:p>
      <w:r>
        <w:rPr>
          <w:rFonts w:ascii="Calibri" w:hAnsi="Calibri"/>
          <w:i/>
          <w:color w:val="525866"/>
          <w:sz w:val="22"/>
        </w:rPr>
        <w:t>Source: Visible Alpha consensus and actuals. Q2 2026 consensus as of August 2, 2026. No formal quarterly guidance provided by management; full-year 2026 guidance is $5.675B–$5.775B revenue and $2.24B–$2.29B Adjusted EBITDA.</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Net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$1,193.2M</w:t>
            </w:r>
          </w:p>
        </w:tc>
        <w:tc>
          <w:tcPr>
            <w:tcW w:type="dxa" w:w="1728"/>
          </w:tcPr>
          <w:p>
            <w:r>
              <w:rPr>
                <w:rFonts w:ascii="Calibri" w:hAnsi="Calibri"/>
                <w:sz w:val="22"/>
              </w:rPr>
              <w:t>$773.8M</w:t>
            </w:r>
          </w:p>
        </w:tc>
        <w:tc>
          <w:tcPr>
            <w:tcW w:type="dxa" w:w="1728"/>
          </w:tcPr>
          <w:p>
            <w:r>
              <w:rPr>
                <w:rFonts w:ascii="Calibri" w:hAnsi="Calibri"/>
                <w:sz w:val="22"/>
              </w:rPr>
              <w:t>+54.2%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$1,540.7M</w:t>
            </w:r>
          </w:p>
        </w:tc>
        <w:tc>
          <w:tcPr>
            <w:tcW w:type="dxa" w:w="1728"/>
          </w:tcPr>
          <w:p>
            <w:r>
              <w:rPr>
                <w:rFonts w:ascii="Calibri" w:hAnsi="Calibri"/>
                <w:sz w:val="22"/>
              </w:rPr>
              <w:t>$663.6M</w:t>
            </w:r>
          </w:p>
        </w:tc>
        <w:tc>
          <w:tcPr>
            <w:tcW w:type="dxa" w:w="1728"/>
          </w:tcPr>
          <w:p>
            <w:r>
              <w:rPr>
                <w:rFonts w:ascii="Calibri" w:hAnsi="Calibri"/>
                <w:sz w:val="22"/>
              </w:rPr>
              <w:t>+132.2%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$927.9M</w:t>
            </w:r>
          </w:p>
        </w:tc>
        <w:tc>
          <w:tcPr>
            <w:tcW w:type="dxa" w:w="1728"/>
          </w:tcPr>
          <w:p>
            <w:r>
              <w:rPr>
                <w:rFonts w:ascii="Calibri" w:hAnsi="Calibri"/>
                <w:sz w:val="22"/>
              </w:rPr>
              <w:t>$606.1M</w:t>
            </w:r>
          </w:p>
        </w:tc>
        <w:tc>
          <w:tcPr>
            <w:tcW w:type="dxa" w:w="1728"/>
          </w:tcPr>
          <w:p>
            <w:r>
              <w:rPr>
                <w:rFonts w:ascii="Calibri" w:hAnsi="Calibri"/>
                <w:sz w:val="22"/>
              </w:rPr>
              <w:t>+53.1%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$1,268.8M</w:t>
            </w:r>
          </w:p>
        </w:tc>
        <w:tc>
          <w:tcPr>
            <w:tcW w:type="dxa" w:w="1728"/>
          </w:tcPr>
          <w:p>
            <w:r>
              <w:rPr>
                <w:rFonts w:ascii="Calibri" w:hAnsi="Calibri"/>
                <w:sz w:val="22"/>
              </w:rPr>
              <w:t>$907.6M</w:t>
            </w:r>
          </w:p>
        </w:tc>
        <w:tc>
          <w:tcPr>
            <w:tcW w:type="dxa" w:w="1728"/>
          </w:tcPr>
          <w:p>
            <w:r>
              <w:rPr>
                <w:rFonts w:ascii="Calibri" w:hAnsi="Calibri"/>
                <w:sz w:val="22"/>
              </w:rPr>
              <w:t>+39.8%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$1,308.4M</w:t>
            </w:r>
          </w:p>
        </w:tc>
        <w:tc>
          <w:tcPr>
            <w:tcW w:type="dxa" w:w="1728"/>
          </w:tcPr>
          <w:p>
            <w:r>
              <w:rPr>
                <w:rFonts w:ascii="Calibri" w:hAnsi="Calibri"/>
                <w:sz w:val="22"/>
              </w:rPr>
              <w:t>$1,226.1M</w:t>
            </w:r>
          </w:p>
        </w:tc>
        <w:tc>
          <w:tcPr>
            <w:tcW w:type="dxa" w:w="1728"/>
          </w:tcPr>
          <w:p>
            <w:r>
              <w:rPr>
                <w:rFonts w:ascii="Calibri" w:hAnsi="Calibri"/>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$1,119.9M</w:t>
            </w:r>
          </w:p>
        </w:tc>
        <w:tc>
          <w:tcPr>
            <w:tcW w:type="dxa" w:w="1728"/>
          </w:tcPr>
          <w:p>
            <w:r>
              <w:rPr>
                <w:rFonts w:ascii="Calibri" w:hAnsi="Calibri"/>
                <w:sz w:val="22"/>
              </w:rPr>
              <w:t>$1,091.4M</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$1,038.1M</w:t>
            </w:r>
          </w:p>
        </w:tc>
        <w:tc>
          <w:tcPr>
            <w:tcW w:type="dxa" w:w="1728"/>
          </w:tcPr>
          <w:p>
            <w:r>
              <w:rPr>
                <w:rFonts w:ascii="Calibri" w:hAnsi="Calibri"/>
                <w:sz w:val="22"/>
              </w:rPr>
              <w:t>$1,023.1M</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$1,596.9M</w:t>
            </w:r>
          </w:p>
        </w:tc>
        <w:tc>
          <w:tcPr>
            <w:tcW w:type="dxa" w:w="1728"/>
          </w:tcPr>
          <w:p>
            <w:r>
              <w:rPr>
                <w:rFonts w:ascii="Calibri" w:hAnsi="Calibri"/>
                <w:sz w:val="22"/>
              </w:rPr>
              <w:t>$1,588.1M</w:t>
            </w:r>
          </w:p>
        </w:tc>
        <w:tc>
          <w:tcPr>
            <w:tcW w:type="dxa" w:w="1728"/>
          </w:tcPr>
          <w:p>
            <w:r>
              <w:rPr>
                <w:rFonts w:ascii="Calibri" w:hAnsi="Calibri"/>
                <w:sz w:val="22"/>
              </w:rPr>
              <w:t>+0.6%</w:t>
            </w:r>
          </w:p>
        </w:tc>
        <w:tc>
          <w:tcPr>
            <w:tcW w:type="dxa" w:w="1728"/>
          </w:tcPr>
          <w:p>
            <w:r>
              <w:rPr>
                <w:rFonts w:ascii="Calibri" w:hAnsi="Calibri"/>
                <w:b/>
                <w:color w:val="30A46C"/>
                <w:sz w:val="22"/>
              </w:rPr>
              <w:t>Beat</w:t>
            </w:r>
          </w:p>
        </w:tc>
      </w:tr>
    </w:tbl>
    <w:p>
      <w:pPr>
        <w:pStyle w:val="Heading4"/>
      </w:pPr>
      <w:r>
        <w:rPr>
          <w:rFonts w:ascii="Calibri" w:hAnsi="Calibri"/>
          <w:b/>
          <w:color w:val="3B4259"/>
          <w:sz w:val="22"/>
        </w:rPr>
        <w:t>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$300.8M</w:t>
            </w:r>
          </w:p>
        </w:tc>
        <w:tc>
          <w:tcPr>
            <w:tcW w:type="dxa" w:w="1728"/>
          </w:tcPr>
          <w:p>
            <w:r>
              <w:rPr>
                <w:rFonts w:ascii="Calibri" w:hAnsi="Calibri"/>
                <w:sz w:val="22"/>
              </w:rPr>
              <w:t>$357.2M</w:t>
            </w:r>
          </w:p>
        </w:tc>
        <w:tc>
          <w:tcPr>
            <w:tcW w:type="dxa" w:w="1728"/>
          </w:tcPr>
          <w:p>
            <w:r>
              <w:rPr>
                <w:rFonts w:ascii="Calibri" w:hAnsi="Calibri"/>
                <w:sz w:val="22"/>
              </w:rPr>
              <w:t>-15.8%</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$226.2M</w:t>
            </w:r>
          </w:p>
        </w:tc>
        <w:tc>
          <w:tcPr>
            <w:tcW w:type="dxa" w:w="1728"/>
          </w:tcPr>
          <w:p>
            <w:r>
              <w:rPr>
                <w:rFonts w:ascii="Calibri" w:hAnsi="Calibri"/>
                <w:sz w:val="22"/>
              </w:rPr>
              <w:t>$290.9M</w:t>
            </w:r>
          </w:p>
        </w:tc>
        <w:tc>
          <w:tcPr>
            <w:tcW w:type="dxa" w:w="1728"/>
          </w:tcPr>
          <w:p>
            <w:r>
              <w:rPr>
                <w:rFonts w:ascii="Calibri" w:hAnsi="Calibri"/>
                <w:sz w:val="22"/>
              </w:rPr>
              <w:t>-22.2%</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$216.0M</w:t>
            </w:r>
          </w:p>
        </w:tc>
        <w:tc>
          <w:tcPr>
            <w:tcW w:type="dxa" w:w="1728"/>
          </w:tcPr>
          <w:p>
            <w:r>
              <w:rPr>
                <w:rFonts w:ascii="Calibri" w:hAnsi="Calibri"/>
                <w:sz w:val="22"/>
              </w:rPr>
              <w:t>$233.1M</w:t>
            </w:r>
          </w:p>
        </w:tc>
        <w:tc>
          <w:tcPr>
            <w:tcW w:type="dxa" w:w="1728"/>
          </w:tcPr>
          <w:p>
            <w:r>
              <w:rPr>
                <w:rFonts w:ascii="Calibri" w:hAnsi="Calibri"/>
                <w:sz w:val="22"/>
              </w:rPr>
              <w:t>-7.3%</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$417.4M</w:t>
            </w:r>
          </w:p>
        </w:tc>
        <w:tc>
          <w:tcPr>
            <w:tcW w:type="dxa" w:w="1728"/>
          </w:tcPr>
          <w:p>
            <w:r>
              <w:rPr>
                <w:rFonts w:ascii="Calibri" w:hAnsi="Calibri"/>
                <w:sz w:val="22"/>
              </w:rPr>
              <w:t>$343.3M</w:t>
            </w:r>
          </w:p>
        </w:tc>
        <w:tc>
          <w:tcPr>
            <w:tcW w:type="dxa" w:w="1728"/>
          </w:tcPr>
          <w:p>
            <w:r>
              <w:rPr>
                <w:rFonts w:ascii="Calibri" w:hAnsi="Calibri"/>
                <w:sz w:val="22"/>
              </w:rPr>
              <w:t>+21.6%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$526.5M</w:t>
            </w:r>
          </w:p>
        </w:tc>
        <w:tc>
          <w:tcPr>
            <w:tcW w:type="dxa" w:w="1728"/>
          </w:tcPr>
          <w:p>
            <w:r>
              <w:rPr>
                <w:rFonts w:ascii="Calibri" w:hAnsi="Calibri"/>
                <w:sz w:val="22"/>
              </w:rPr>
              <w:t>$475.0M</w:t>
            </w:r>
          </w:p>
        </w:tc>
        <w:tc>
          <w:tcPr>
            <w:tcW w:type="dxa" w:w="1728"/>
          </w:tcPr>
          <w:p>
            <w:r>
              <w:rPr>
                <w:rFonts w:ascii="Calibri" w:hAnsi="Calibri"/>
                <w:sz w:val="22"/>
              </w:rPr>
              <w:t>+10.8%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$360.2M</w:t>
            </w:r>
          </w:p>
        </w:tc>
        <w:tc>
          <w:tcPr>
            <w:tcW w:type="dxa" w:w="1728"/>
          </w:tcPr>
          <w:p>
            <w:r>
              <w:rPr>
                <w:rFonts w:ascii="Calibri" w:hAnsi="Calibri"/>
                <w:sz w:val="22"/>
              </w:rPr>
              <w:t>$349.0M</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$281.2M</w:t>
            </w:r>
          </w:p>
        </w:tc>
        <w:tc>
          <w:tcPr>
            <w:tcW w:type="dxa" w:w="1728"/>
          </w:tcPr>
          <w:p>
            <w:r>
              <w:rPr>
                <w:rFonts w:ascii="Calibri" w:hAnsi="Calibri"/>
                <w:sz w:val="22"/>
              </w:rPr>
              <w:t>$276.3M</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$549.8M</w:t>
            </w:r>
          </w:p>
        </w:tc>
        <w:tc>
          <w:tcPr>
            <w:tcW w:type="dxa" w:w="1728"/>
          </w:tcPr>
          <w:p>
            <w:r>
              <w:rPr>
                <w:rFonts w:ascii="Calibri" w:hAnsi="Calibri"/>
                <w:sz w:val="22"/>
              </w:rPr>
              <w:t>$538.4M</w:t>
            </w:r>
          </w:p>
        </w:tc>
        <w:tc>
          <w:tcPr>
            <w:tcW w:type="dxa" w:w="1728"/>
          </w:tcPr>
          <w:p>
            <w:r>
              <w:rPr>
                <w:rFonts w:ascii="Calibri" w:hAnsi="Calibri"/>
                <w:sz w:val="22"/>
              </w:rPr>
              <w:t>+2.1%</w:t>
            </w:r>
          </w:p>
        </w:tc>
        <w:tc>
          <w:tcPr>
            <w:tcW w:type="dxa" w:w="1728"/>
          </w:tcPr>
          <w:p>
            <w:r>
              <w:rPr>
                <w:rFonts w:ascii="Calibri" w:hAnsi="Calibri"/>
                <w:b/>
                <w:color w:val="30A46C"/>
                <w:sz w:val="22"/>
              </w:rPr>
              <w:t>Beat</w:t>
            </w:r>
          </w:p>
        </w:tc>
      </w:tr>
    </w:tbl>
    <w:p>
      <w:r>
        <w:rPr>
          <w:rFonts w:ascii="Calibri" w:hAnsi="Calibri"/>
          <w:i/>
          <w:color w:val="525866"/>
          <w:sz w:val="22"/>
        </w:rPr>
        <w:t>Revenue has beaten consensus in all 8 of the last 8 quarters, though the magnitude of beats has compressed significantly as estimates have caught up. EBITDA missed in the first three quarters post-merger (2024) but has beaten in each of the last five quarters, suggesting the Street has better calibrated the model.</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was </w:t>
      </w:r>
      <w:r>
        <w:rPr>
          <w:rFonts w:ascii="Calibri" w:hAnsi="Calibri"/>
          <w:b/>
          <w:color w:val="525866"/>
          <w:sz w:val="22"/>
        </w:rPr>
        <w:t>reaffirmed on the Q1 call with no changes</w:t>
      </w:r>
      <w:r>
        <w:rPr>
          <w:rFonts w:ascii="Calibri" w:hAnsi="Calibri"/>
          <w:color w:val="525866"/>
          <w:sz w:val="22"/>
        </w:rPr>
        <w:t>; management’s tone was confident and directional, with Q2 explicitly flagged as the strongest quarter of the year. The only post-earnings update is the completion of the $800M ASR ahead of schedule.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$5.675B – $5.775B</w:t>
            </w:r>
          </w:p>
        </w:tc>
        <w:tc>
          <w:tcPr>
            <w:tcW w:type="dxa" w:w="1728"/>
          </w:tcPr>
          <w:p>
            <w:r>
              <w:rPr>
                <w:rFonts w:ascii="Calibri" w:hAnsi="Calibri"/>
                <w:sz w:val="22"/>
              </w:rPr>
              <w:t>—</w:t>
            </w:r>
          </w:p>
        </w:tc>
        <w:tc>
          <w:tcPr>
            <w:tcW w:type="dxa" w:w="1728"/>
          </w:tcPr>
          <w:p>
            <w:r>
              <w:rPr>
                <w:rFonts w:ascii="Calibri" w:hAnsi="Calibri"/>
                <w:sz w:val="22"/>
              </w:rPr>
              <w:t>$5,766M</w:t>
            </w:r>
          </w:p>
        </w:tc>
        <w:tc>
          <w:tcPr>
            <w:tcW w:type="dxa" w:w="1728"/>
          </w:tcPr>
          <w:p>
            <w:r>
              <w:rPr>
                <w:rFonts w:ascii="Calibri" w:hAnsi="Calibri"/>
                <w:sz w:val="22"/>
              </w:rPr>
              <w:t>Reaffirmed; no post-earnings revision; consensus at midpoint</w:t>
            </w:r>
          </w:p>
        </w:tc>
      </w:tr>
      <w:tr>
        <w:tc>
          <w:tcPr>
            <w:tcW w:type="dxa" w:w="1728"/>
          </w:tcPr>
          <w:p>
            <w:r>
              <w:rPr>
                <w:rFonts w:ascii="Calibri" w:hAnsi="Calibri"/>
                <w:sz w:val="22"/>
              </w:rPr>
              <w:t>FY 2026 Adj. EBITDA</w:t>
            </w:r>
          </w:p>
        </w:tc>
        <w:tc>
          <w:tcPr>
            <w:tcW w:type="dxa" w:w="1728"/>
          </w:tcPr>
          <w:p>
            <w:r>
              <w:rPr>
                <w:rFonts w:ascii="Calibri" w:hAnsi="Calibri"/>
                <w:sz w:val="22"/>
              </w:rPr>
              <w:t>$2.24B – $2.29B</w:t>
            </w:r>
          </w:p>
        </w:tc>
        <w:tc>
          <w:tcPr>
            <w:tcW w:type="dxa" w:w="1728"/>
          </w:tcPr>
          <w:p>
            <w:r>
              <w:rPr>
                <w:rFonts w:ascii="Calibri" w:hAnsi="Calibri"/>
                <w:sz w:val="22"/>
              </w:rPr>
              <w:t>—</w:t>
            </w:r>
          </w:p>
        </w:tc>
        <w:tc>
          <w:tcPr>
            <w:tcW w:type="dxa" w:w="1728"/>
          </w:tcPr>
          <w:p>
            <w:r>
              <w:rPr>
                <w:rFonts w:ascii="Calibri" w:hAnsi="Calibri"/>
                <w:sz w:val="22"/>
              </w:rPr>
              <w:t>$2,273M</w:t>
            </w:r>
          </w:p>
        </w:tc>
        <w:tc>
          <w:tcPr>
            <w:tcW w:type="dxa" w:w="1728"/>
          </w:tcPr>
          <w:p>
            <w:r>
              <w:rPr>
                <w:rFonts w:ascii="Calibri" w:hAnsi="Calibri"/>
                <w:sz w:val="22"/>
              </w:rPr>
              <w:t>Reaffirmed; consensus at midpoint</w:t>
            </w:r>
          </w:p>
        </w:tc>
      </w:tr>
      <w:tr>
        <w:tc>
          <w:tcPr>
            <w:tcW w:type="dxa" w:w="1728"/>
          </w:tcPr>
          <w:p>
            <w:r>
              <w:rPr>
                <w:rFonts w:ascii="Calibri" w:hAnsi="Calibri"/>
                <w:sz w:val="22"/>
              </w:rPr>
              <w:t>FY 2026 Adj. EBITDA Margin</w:t>
            </w:r>
          </w:p>
        </w:tc>
        <w:tc>
          <w:tcPr>
            <w:tcW w:type="dxa" w:w="1728"/>
          </w:tcPr>
          <w:p>
            <w:r>
              <w:rPr>
                <w:rFonts w:ascii="Calibri" w:hAnsi="Calibri"/>
                <w:sz w:val="22"/>
              </w:rPr>
              <w:t>~39.6% at midpoint</w:t>
            </w:r>
          </w:p>
        </w:tc>
        <w:tc>
          <w:tcPr>
            <w:tcW w:type="dxa" w:w="1728"/>
          </w:tcPr>
          <w:p>
            <w:r>
              <w:rPr>
                <w:rFonts w:ascii="Calibri" w:hAnsi="Calibri"/>
                <w:sz w:val="22"/>
              </w:rPr>
              <w:t>—</w:t>
            </w:r>
          </w:p>
        </w:tc>
        <w:tc>
          <w:tcPr>
            <w:tcW w:type="dxa" w:w="1728"/>
          </w:tcPr>
          <w:p>
            <w:r>
              <w:rPr>
                <w:rFonts w:ascii="Calibri" w:hAnsi="Calibri"/>
                <w:sz w:val="22"/>
              </w:rPr>
              <w:t>~39.4%</w:t>
            </w:r>
          </w:p>
        </w:tc>
        <w:tc>
          <w:tcPr>
            <w:tcW w:type="dxa" w:w="1728"/>
          </w:tcPr>
          <w:p>
            <w:r>
              <w:rPr>
                <w:rFonts w:ascii="Calibri" w:hAnsi="Calibri"/>
                <w:sz w:val="22"/>
              </w:rPr>
              <w:t>~600 bps expansion vs. 2025; consensus in line</w:t>
            </w:r>
          </w:p>
        </w:tc>
      </w:tr>
      <w:tr>
        <w:tc>
          <w:tcPr>
            <w:tcW w:type="dxa" w:w="1728"/>
          </w:tcPr>
          <w:p>
            <w:r>
              <w:rPr>
                <w:rFonts w:ascii="Calibri" w:hAnsi="Calibri"/>
                <w:sz w:val="22"/>
              </w:rPr>
              <w:t>FY 2026 FCF Conversion</w:t>
            </w:r>
          </w:p>
        </w:tc>
        <w:tc>
          <w:tcPr>
            <w:tcW w:type="dxa" w:w="1728"/>
          </w:tcPr>
          <w:p>
            <w:r>
              <w:rPr>
                <w:rFonts w:ascii="Calibri" w:hAnsi="Calibri"/>
                <w:sz w:val="22"/>
              </w:rPr>
              <w:t>&gt;60% (normalized)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Normalizing for World Cup + Paramount payments</w:t>
            </w:r>
          </w:p>
        </w:tc>
      </w:tr>
      <w:tr>
        <w:tc>
          <w:tcPr>
            <w:tcW w:type="dxa" w:w="1728"/>
          </w:tcPr>
          <w:p>
            <w:r>
              <w:rPr>
                <w:rFonts w:ascii="Calibri" w:hAnsi="Calibri"/>
                <w:sz w:val="22"/>
              </w:rPr>
              <w:t>UFC Freedom 250 Net Loss</w:t>
            </w:r>
          </w:p>
        </w:tc>
        <w:tc>
          <w:tcPr>
            <w:tcW w:type="dxa" w:w="1728"/>
          </w:tcPr>
          <w:p>
            <w:r>
              <w:rPr>
                <w:rFonts w:ascii="Calibri" w:hAnsi="Calibri"/>
                <w:sz w:val="22"/>
              </w:rPr>
              <w:t>~$30M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Pre-disclosed; embedded in guidance; event staged June 14</w:t>
            </w:r>
          </w:p>
        </w:tc>
      </w:tr>
      <w:tr>
        <w:tc>
          <w:tcPr>
            <w:tcW w:type="dxa" w:w="1728"/>
          </w:tcPr>
          <w:p>
            <w:r>
              <w:rPr>
                <w:rFonts w:ascii="Calibri" w:hAnsi="Calibri"/>
                <w:sz w:val="22"/>
              </w:rPr>
              <w:t>Q2 WWE Characterization</w:t>
            </w:r>
          </w:p>
        </w:tc>
        <w:tc>
          <w:tcPr>
            <w:tcW w:type="dxa" w:w="1728"/>
          </w:tcPr>
          <w:p>
            <w:r>
              <w:rPr>
                <w:rFonts w:ascii="Calibri" w:hAnsi="Calibri"/>
                <w:sz w:val="22"/>
              </w:rPr>
              <w:t>“By far highest revenue and EBITDA quarter of the year”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Driven by WrestleMania + Saudi PLE; management explicit</w:t>
            </w:r>
          </w:p>
        </w:tc>
      </w:tr>
      <w:tr>
        <w:tc>
          <w:tcPr>
            <w:tcW w:type="dxa" w:w="1728"/>
          </w:tcPr>
          <w:p>
            <w:r>
              <w:rPr>
                <w:rFonts w:ascii="Calibri" w:hAnsi="Calibri"/>
                <w:sz w:val="22"/>
              </w:rPr>
              <w:t>Partnerships &amp; Marketing FY</w:t>
            </w:r>
          </w:p>
        </w:tc>
        <w:tc>
          <w:tcPr>
            <w:tcW w:type="dxa" w:w="1728"/>
          </w:tcPr>
          <w:p>
            <w:r>
              <w:rPr>
                <w:rFonts w:ascii="Calibri" w:hAnsi="Calibri"/>
                <w:sz w:val="22"/>
              </w:rPr>
              <w:t>Tracking to $450M</w:t>
            </w:r>
          </w:p>
        </w:tc>
        <w:tc>
          <w:tcPr>
            <w:tcW w:type="dxa" w:w="1728"/>
          </w:tcPr>
          <w:p>
            <w:r>
              <w:rPr>
                <w:rFonts w:ascii="Calibri" w:hAnsi="Calibri"/>
                <w:sz w:val="22"/>
              </w:rPr>
              <w:t>—</w:t>
            </w:r>
          </w:p>
        </w:tc>
        <w:tc>
          <w:tcPr>
            <w:tcW w:type="dxa" w:w="1728"/>
          </w:tcPr>
          <w:p>
            <w:r>
              <w:rPr>
                <w:rFonts w:ascii="Calibri" w:hAnsi="Calibri"/>
                <w:sz w:val="22"/>
              </w:rPr>
              <w:t>$675M</w:t>
            </w:r>
          </w:p>
        </w:tc>
        <w:tc>
          <w:tcPr>
            <w:tcW w:type="dxa" w:w="1728"/>
          </w:tcPr>
          <w:p>
            <w:r>
              <w:rPr>
                <w:rFonts w:ascii="Calibri" w:hAnsi="Calibri"/>
                <w:sz w:val="22"/>
              </w:rPr>
              <w:t>Well above original $375M target; 2030 goal raised to $1.2B</w:t>
            </w:r>
          </w:p>
        </w:tc>
      </w:tr>
      <w:tr>
        <w:tc>
          <w:tcPr>
            <w:tcW w:type="dxa" w:w="1728"/>
          </w:tcPr>
          <w:p>
            <w:r>
              <w:rPr>
                <w:rFonts w:ascii="Calibri" w:hAnsi="Calibri"/>
                <w:sz w:val="22"/>
              </w:rPr>
              <w:t>Share Repurchase</w:t>
            </w:r>
          </w:p>
        </w:tc>
        <w:tc>
          <w:tcPr>
            <w:tcW w:type="dxa" w:w="1728"/>
          </w:tcPr>
          <w:p>
            <w:r>
              <w:rPr>
                <w:rFonts w:ascii="Calibri" w:hAnsi="Calibri"/>
                <w:sz w:val="22"/>
              </w:rPr>
              <w:t>$1B additional authorization (on top of $2B existing)</w:t>
            </w:r>
          </w:p>
        </w:tc>
        <w:tc>
          <w:tcPr>
            <w:tcW w:type="dxa" w:w="1728"/>
          </w:tcPr>
          <w:p>
            <w:r>
              <w:rPr>
                <w:rFonts w:ascii="Calibri" w:hAnsi="Calibri"/>
                <w:sz w:val="22"/>
              </w:rPr>
              <w:t>$800M ASR completed June 30, 2026</w:t>
            </w:r>
          </w:p>
        </w:tc>
        <w:tc>
          <w:tcPr>
            <w:tcW w:type="dxa" w:w="1728"/>
          </w:tcPr>
          <w:p>
            <w:r>
              <w:rPr>
                <w:rFonts w:ascii="Calibri" w:hAnsi="Calibri"/>
                <w:sz w:val="22"/>
              </w:rPr>
              <w:t>—</w:t>
            </w:r>
          </w:p>
        </w:tc>
        <w:tc>
          <w:tcPr>
            <w:tcW w:type="dxa" w:w="1728"/>
          </w:tcPr>
          <w:p>
            <w:r>
              <w:rPr>
                <w:rFonts w:ascii="Calibri" w:hAnsi="Calibri"/>
                <w:sz w:val="22"/>
              </w:rPr>
              <w:t>↑ ASR completed ahead of schedule; $200M 10b5-1 plan runs through Aug 31, 2026</w:t>
            </w:r>
          </w:p>
        </w:tc>
      </w:tr>
    </w:tbl>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Revenue estimates have been essentially flat since Q1 earnings while </w:t>
      </w:r>
      <w:r>
        <w:rPr>
          <w:rFonts w:ascii="Calibri" w:hAnsi="Calibri"/>
          <w:b/>
          <w:color w:val="525866"/>
          <w:sz w:val="22"/>
        </w:rPr>
        <w:t>EBITDA estimates have drifted ~5% lower for Q2</w:t>
      </w:r>
      <w:r>
        <w:rPr>
          <w:rFonts w:ascii="Calibri" w:hAnsi="Calibri"/>
          <w:color w:val="525866"/>
          <w:sz w:val="22"/>
        </w:rPr>
        <w:t>, likely reflecting the Street absorbing the ~$30M Freedom 250 drag; the gap between current consensus and guidance midpoint is narrow, suggesting limited cushion but also limited downside risk.</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11, 2026)</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 vs. Guidance</w:t>
            </w:r>
          </w:p>
        </w:tc>
      </w:tr>
      <w:tr>
        <w:tc>
          <w:tcPr>
            <w:tcW w:type="dxa" w:w="960"/>
          </w:tcPr>
          <w:p>
            <w:r>
              <w:rPr>
                <w:rFonts w:ascii="Calibri" w:hAnsi="Calibri"/>
                <w:sz w:val="22"/>
              </w:rPr>
              <w:t>Net Revenue</w:t>
            </w:r>
          </w:p>
        </w:tc>
        <w:tc>
          <w:tcPr>
            <w:tcW w:type="dxa" w:w="960"/>
          </w:tcPr>
          <w:p>
            <w:r>
              <w:rPr>
                <w:rFonts w:ascii="Calibri" w:hAnsi="Calibri"/>
                <w:sz w:val="22"/>
              </w:rPr>
              <w:t>Q2 2026</w:t>
            </w:r>
          </w:p>
        </w:tc>
        <w:tc>
          <w:tcPr>
            <w:tcW w:type="dxa" w:w="960"/>
          </w:tcPr>
          <w:p>
            <w:r>
              <w:rPr>
                <w:rFonts w:ascii="Calibri" w:hAnsi="Calibri"/>
                <w:sz w:val="22"/>
              </w:rPr>
              <w:t>$1,534.4M</w:t>
            </w:r>
          </w:p>
        </w:tc>
        <w:tc>
          <w:tcPr>
            <w:tcW w:type="dxa" w:w="960"/>
          </w:tcPr>
          <w:p>
            <w:r>
              <w:rPr>
                <w:rFonts w:ascii="Calibri" w:hAnsi="Calibri"/>
                <w:sz w:val="22"/>
              </w:rPr>
              <w:t>$1,529.6M</w:t>
            </w:r>
          </w:p>
        </w:tc>
        <w:tc>
          <w:tcPr>
            <w:tcW w:type="dxa" w:w="960"/>
          </w:tcPr>
          <w:p>
            <w:r>
              <w:rPr>
                <w:rFonts w:ascii="Calibri" w:hAnsi="Calibri"/>
                <w:sz w:val="22"/>
              </w:rPr>
              <w:t>-0.3%</w:t>
            </w:r>
          </w:p>
        </w:tc>
        <w:tc>
          <w:tcPr>
            <w:tcW w:type="dxa" w:w="960"/>
          </w:tcPr>
          <w:p>
            <w:r>
              <w:rPr>
                <w:rFonts w:ascii="Calibri" w:hAnsi="Calibri"/>
                <w:sz w:val="22"/>
              </w:rPr>
              <w:t>No formal Q guidance</w:t>
            </w:r>
          </w:p>
        </w:tc>
        <w:tc>
          <w:tcPr>
            <w:tcW w:type="dxa" w:w="960"/>
          </w:tcPr>
          <w:p>
            <w:r>
              <w:rPr>
                <w:rFonts w:ascii="Calibri" w:hAnsi="Calibri"/>
                <w:sz w:val="22"/>
              </w:rPr>
              <w:t>No formal Q guidance</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Net Revenue</w:t>
            </w:r>
          </w:p>
        </w:tc>
        <w:tc>
          <w:tcPr>
            <w:tcW w:type="dxa" w:w="960"/>
          </w:tcPr>
          <w:p>
            <w:r>
              <w:rPr>
                <w:rFonts w:ascii="Calibri" w:hAnsi="Calibri"/>
                <w:sz w:val="22"/>
              </w:rPr>
              <w:t>FY 2026</w:t>
            </w:r>
          </w:p>
        </w:tc>
        <w:tc>
          <w:tcPr>
            <w:tcW w:type="dxa" w:w="960"/>
          </w:tcPr>
          <w:p>
            <w:r>
              <w:rPr>
                <w:rFonts w:ascii="Calibri" w:hAnsi="Calibri"/>
                <w:sz w:val="22"/>
              </w:rPr>
              <w:t>$5,760.4M</w:t>
            </w:r>
          </w:p>
        </w:tc>
        <w:tc>
          <w:tcPr>
            <w:tcW w:type="dxa" w:w="960"/>
          </w:tcPr>
          <w:p>
            <w:r>
              <w:rPr>
                <w:rFonts w:ascii="Calibri" w:hAnsi="Calibri"/>
                <w:sz w:val="22"/>
              </w:rPr>
              <w:t>$5,766.0M</w:t>
            </w:r>
          </w:p>
        </w:tc>
        <w:tc>
          <w:tcPr>
            <w:tcW w:type="dxa" w:w="960"/>
          </w:tcPr>
          <w:p>
            <w:r>
              <w:rPr>
                <w:rFonts w:ascii="Calibri" w:hAnsi="Calibri"/>
                <w:sz w:val="22"/>
              </w:rPr>
              <w:t>+0.1%</w:t>
            </w:r>
          </w:p>
        </w:tc>
        <w:tc>
          <w:tcPr>
            <w:tcW w:type="dxa" w:w="960"/>
          </w:tcPr>
          <w:p>
            <w:r>
              <w:rPr>
                <w:rFonts w:ascii="Calibri" w:hAnsi="Calibri"/>
                <w:sz w:val="22"/>
              </w:rPr>
              <w:t>$5.675B – $5.775B</w:t>
            </w:r>
          </w:p>
        </w:tc>
        <w:tc>
          <w:tcPr>
            <w:tcW w:type="dxa" w:w="960"/>
          </w:tcPr>
          <w:p>
            <w:r>
              <w:rPr>
                <w:rFonts w:ascii="Calibri" w:hAnsi="Calibri"/>
                <w:sz w:val="22"/>
              </w:rPr>
              <w:t>Reaffirmed</w:t>
            </w:r>
          </w:p>
        </w:tc>
        <w:tc>
          <w:tcPr>
            <w:tcW w:type="dxa" w:w="960"/>
          </w:tcPr>
          <w:p>
            <w:r>
              <w:rPr>
                <w:rFonts w:ascii="Calibri" w:hAnsi="Calibri"/>
                <w:sz w:val="22"/>
              </w:rPr>
              <w:t>0%</w:t>
            </w:r>
          </w:p>
        </w:tc>
        <w:tc>
          <w:tcPr>
            <w:tcW w:type="dxa" w:w="960"/>
          </w:tcPr>
          <w:p>
            <w:r>
              <w:rPr>
                <w:rFonts w:ascii="Calibri" w:hAnsi="Calibri"/>
                <w:sz w:val="22"/>
              </w:rPr>
              <w:t>+0.2% above midpoint</w:t>
            </w:r>
          </w:p>
        </w:tc>
      </w:tr>
      <w:tr>
        <w:tc>
          <w:tcPr>
            <w:tcW w:type="dxa" w:w="960"/>
          </w:tcPr>
          <w:p>
            <w:r>
              <w:rPr>
                <w:rFonts w:ascii="Calibri" w:hAnsi="Calibri"/>
                <w:sz w:val="22"/>
              </w:rPr>
              <w:t>Adj. EBITDA</w:t>
            </w:r>
          </w:p>
        </w:tc>
        <w:tc>
          <w:tcPr>
            <w:tcW w:type="dxa" w:w="960"/>
          </w:tcPr>
          <w:p>
            <w:r>
              <w:rPr>
                <w:rFonts w:ascii="Calibri" w:hAnsi="Calibri"/>
                <w:sz w:val="22"/>
              </w:rPr>
              <w:t>Q2 2026</w:t>
            </w:r>
          </w:p>
        </w:tc>
        <w:tc>
          <w:tcPr>
            <w:tcW w:type="dxa" w:w="960"/>
          </w:tcPr>
          <w:p>
            <w:r>
              <w:rPr>
                <w:rFonts w:ascii="Calibri" w:hAnsi="Calibri"/>
                <w:sz w:val="22"/>
              </w:rPr>
              <w:t>$669.4M</w:t>
            </w:r>
          </w:p>
        </w:tc>
        <w:tc>
          <w:tcPr>
            <w:tcW w:type="dxa" w:w="960"/>
          </w:tcPr>
          <w:p>
            <w:r>
              <w:rPr>
                <w:rFonts w:ascii="Calibri" w:hAnsi="Calibri"/>
                <w:sz w:val="22"/>
              </w:rPr>
              <w:t>$636.2M</w:t>
            </w:r>
          </w:p>
        </w:tc>
        <w:tc>
          <w:tcPr>
            <w:tcW w:type="dxa" w:w="960"/>
          </w:tcPr>
          <w:p>
            <w:r>
              <w:rPr>
                <w:rFonts w:ascii="Calibri" w:hAnsi="Calibri"/>
                <w:b/>
                <w:color w:val="E5484D"/>
                <w:sz w:val="22"/>
              </w:rPr>
              <w:t>-5.0%</w:t>
            </w:r>
          </w:p>
        </w:tc>
        <w:tc>
          <w:tcPr>
            <w:tcW w:type="dxa" w:w="960"/>
          </w:tcPr>
          <w:p>
            <w:r>
              <w:rPr>
                <w:rFonts w:ascii="Calibri" w:hAnsi="Calibri"/>
                <w:sz w:val="22"/>
              </w:rPr>
              <w:t>No formal Q guidance</w:t>
            </w:r>
          </w:p>
        </w:tc>
        <w:tc>
          <w:tcPr>
            <w:tcW w:type="dxa" w:w="960"/>
          </w:tcPr>
          <w:p>
            <w:r>
              <w:rPr>
                <w:rFonts w:ascii="Calibri" w:hAnsi="Calibri"/>
                <w:sz w:val="22"/>
              </w:rPr>
              <w:t>No formal Q guidance</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Adj. EBITDA</w:t>
            </w:r>
          </w:p>
        </w:tc>
        <w:tc>
          <w:tcPr>
            <w:tcW w:type="dxa" w:w="960"/>
          </w:tcPr>
          <w:p>
            <w:r>
              <w:rPr>
                <w:rFonts w:ascii="Calibri" w:hAnsi="Calibri"/>
                <w:sz w:val="22"/>
              </w:rPr>
              <w:t>FY 2026</w:t>
            </w:r>
          </w:p>
        </w:tc>
        <w:tc>
          <w:tcPr>
            <w:tcW w:type="dxa" w:w="960"/>
          </w:tcPr>
          <w:p>
            <w:r>
              <w:rPr>
                <w:rFonts w:ascii="Calibri" w:hAnsi="Calibri"/>
                <w:sz w:val="22"/>
              </w:rPr>
              <w:t>$2,277.7M</w:t>
            </w:r>
          </w:p>
        </w:tc>
        <w:tc>
          <w:tcPr>
            <w:tcW w:type="dxa" w:w="960"/>
          </w:tcPr>
          <w:p>
            <w:r>
              <w:rPr>
                <w:rFonts w:ascii="Calibri" w:hAnsi="Calibri"/>
                <w:sz w:val="22"/>
              </w:rPr>
              <w:t>$2,273.3M</w:t>
            </w:r>
          </w:p>
        </w:tc>
        <w:tc>
          <w:tcPr>
            <w:tcW w:type="dxa" w:w="960"/>
          </w:tcPr>
          <w:p>
            <w:r>
              <w:rPr>
                <w:rFonts w:ascii="Calibri" w:hAnsi="Calibri"/>
                <w:sz w:val="22"/>
              </w:rPr>
              <w:t>-0.2%</w:t>
            </w:r>
          </w:p>
        </w:tc>
        <w:tc>
          <w:tcPr>
            <w:tcW w:type="dxa" w:w="960"/>
          </w:tcPr>
          <w:p>
            <w:r>
              <w:rPr>
                <w:rFonts w:ascii="Calibri" w:hAnsi="Calibri"/>
                <w:sz w:val="22"/>
              </w:rPr>
              <w:t>$2.24B – $2.29B</w:t>
            </w:r>
          </w:p>
        </w:tc>
        <w:tc>
          <w:tcPr>
            <w:tcW w:type="dxa" w:w="960"/>
          </w:tcPr>
          <w:p>
            <w:r>
              <w:rPr>
                <w:rFonts w:ascii="Calibri" w:hAnsi="Calibri"/>
                <w:sz w:val="22"/>
              </w:rPr>
              <w:t>Reaffirmed</w:t>
            </w:r>
          </w:p>
        </w:tc>
        <w:tc>
          <w:tcPr>
            <w:tcW w:type="dxa" w:w="960"/>
          </w:tcPr>
          <w:p>
            <w:r>
              <w:rPr>
                <w:rFonts w:ascii="Calibri" w:hAnsi="Calibri"/>
                <w:sz w:val="22"/>
              </w:rPr>
              <w:t>0%</w:t>
            </w:r>
          </w:p>
        </w:tc>
        <w:tc>
          <w:tcPr>
            <w:tcW w:type="dxa" w:w="960"/>
          </w:tcPr>
          <w:p>
            <w:r>
              <w:rPr>
                <w:rFonts w:ascii="Calibri" w:hAnsi="Calibri"/>
                <w:sz w:val="22"/>
              </w:rPr>
              <w:t>+0.1% above midpoint</w:t>
            </w:r>
          </w:p>
        </w:tc>
      </w:tr>
      <w:tr>
        <w:tc>
          <w:tcPr>
            <w:tcW w:type="dxa" w:w="960"/>
          </w:tcPr>
          <w:p>
            <w:r>
              <w:rPr>
                <w:rFonts w:ascii="Calibri" w:hAnsi="Calibri"/>
                <w:sz w:val="22"/>
              </w:rPr>
              <w:t>EPS (Diluted)</w:t>
            </w:r>
          </w:p>
        </w:tc>
        <w:tc>
          <w:tcPr>
            <w:tcW w:type="dxa" w:w="960"/>
          </w:tcPr>
          <w:p>
            <w:r>
              <w:rPr>
                <w:rFonts w:ascii="Calibri" w:hAnsi="Calibri"/>
                <w:sz w:val="22"/>
              </w:rPr>
              <w:t>Q2 2026</w:t>
            </w:r>
          </w:p>
        </w:tc>
        <w:tc>
          <w:tcPr>
            <w:tcW w:type="dxa" w:w="960"/>
          </w:tcPr>
          <w:p>
            <w:r>
              <w:rPr>
                <w:rFonts w:ascii="Calibri" w:hAnsi="Calibri"/>
                <w:sz w:val="22"/>
              </w:rPr>
              <w:t>$0.90</w:t>
            </w:r>
          </w:p>
        </w:tc>
        <w:tc>
          <w:tcPr>
            <w:tcW w:type="dxa" w:w="960"/>
          </w:tcPr>
          <w:p>
            <w:r>
              <w:rPr>
                <w:rFonts w:ascii="Calibri" w:hAnsi="Calibri"/>
                <w:sz w:val="22"/>
              </w:rPr>
              <w:t>$0.84</w:t>
            </w:r>
          </w:p>
        </w:tc>
        <w:tc>
          <w:tcPr>
            <w:tcW w:type="dxa" w:w="960"/>
          </w:tcPr>
          <w:p>
            <w:r>
              <w:rPr>
                <w:rFonts w:ascii="Calibri" w:hAnsi="Calibri"/>
                <w:b/>
                <w:color w:val="E5484D"/>
                <w:sz w:val="22"/>
              </w:rPr>
              <w:t>-7.3%</w:t>
            </w:r>
          </w:p>
        </w:tc>
        <w:tc>
          <w:tcPr>
            <w:tcW w:type="dxa" w:w="960"/>
          </w:tcPr>
          <w:p>
            <w:r>
              <w:rPr>
                <w:rFonts w:ascii="Calibri" w:hAnsi="Calibri"/>
                <w:sz w:val="22"/>
              </w:rPr>
              <w:t>No formal Q guidance</w:t>
            </w:r>
          </w:p>
        </w:tc>
        <w:tc>
          <w:tcPr>
            <w:tcW w:type="dxa" w:w="960"/>
          </w:tcPr>
          <w:p>
            <w:r>
              <w:rPr>
                <w:rFonts w:ascii="Calibri" w:hAnsi="Calibri"/>
                <w:sz w:val="22"/>
              </w:rPr>
              <w:t>No formal Q guidance</w:t>
            </w:r>
          </w:p>
        </w:tc>
        <w:tc>
          <w:tcPr>
            <w:tcW w:type="dxa" w:w="960"/>
          </w:tcPr>
          <w:p>
            <w:r>
              <w:rPr>
                <w:rFonts w:ascii="Calibri" w:hAnsi="Calibri"/>
                <w:sz w:val="22"/>
              </w:rPr>
              <w:t>—</w:t>
            </w:r>
          </w:p>
        </w:tc>
        <w:tc>
          <w:tcPr>
            <w:tcW w:type="dxa" w:w="960"/>
          </w:tcPr>
          <w:p>
            <w:r>
              <w:rPr>
                <w:rFonts w:ascii="Calibri" w:hAnsi="Calibri"/>
                <w:sz w:val="22"/>
              </w:rPr>
              <w:t>N/A</w:t>
            </w:r>
          </w:p>
        </w:tc>
      </w:tr>
      <w:tr>
        <w:tc>
          <w:tcPr>
            <w:tcW w:type="dxa" w:w="960"/>
          </w:tcPr>
          <w:p>
            <w:r>
              <w:rPr>
                <w:rFonts w:ascii="Calibri" w:hAnsi="Calibri"/>
                <w:sz w:val="22"/>
              </w:rPr>
              <w:t>EPS (Diluted)</w:t>
            </w:r>
          </w:p>
        </w:tc>
        <w:tc>
          <w:tcPr>
            <w:tcW w:type="dxa" w:w="960"/>
          </w:tcPr>
          <w:p>
            <w:r>
              <w:rPr>
                <w:rFonts w:ascii="Calibri" w:hAnsi="Calibri"/>
                <w:sz w:val="22"/>
              </w:rPr>
              <w:t>FY 2026</w:t>
            </w:r>
          </w:p>
        </w:tc>
        <w:tc>
          <w:tcPr>
            <w:tcW w:type="dxa" w:w="960"/>
          </w:tcPr>
          <w:p>
            <w:r>
              <w:rPr>
                <w:rFonts w:ascii="Calibri" w:hAnsi="Calibri"/>
                <w:sz w:val="22"/>
              </w:rPr>
              <w:t>$2.82</w:t>
            </w:r>
          </w:p>
        </w:tc>
        <w:tc>
          <w:tcPr>
            <w:tcW w:type="dxa" w:w="960"/>
          </w:tcPr>
          <w:p>
            <w:r>
              <w:rPr>
                <w:rFonts w:ascii="Calibri" w:hAnsi="Calibri"/>
                <w:sz w:val="22"/>
              </w:rPr>
              <w:t>$2.82</w:t>
            </w:r>
          </w:p>
        </w:tc>
        <w:tc>
          <w:tcPr>
            <w:tcW w:type="dxa" w:w="960"/>
          </w:tcPr>
          <w:p>
            <w:r>
              <w:rPr>
                <w:rFonts w:ascii="Calibri" w:hAnsi="Calibri"/>
                <w:sz w:val="22"/>
              </w:rPr>
              <w:t>0.0%</w:t>
            </w:r>
          </w:p>
        </w:tc>
        <w:tc>
          <w:tcPr>
            <w:tcW w:type="dxa" w:w="960"/>
          </w:tcPr>
          <w:p>
            <w:r>
              <w:rPr>
                <w:rFonts w:ascii="Calibri" w:hAnsi="Calibri"/>
                <w:sz w:val="22"/>
              </w:rPr>
              <w:t>No formal Q guidance</w:t>
            </w:r>
          </w:p>
        </w:tc>
        <w:tc>
          <w:tcPr>
            <w:tcW w:type="dxa" w:w="960"/>
          </w:tcPr>
          <w:p>
            <w:r>
              <w:rPr>
                <w:rFonts w:ascii="Calibri" w:hAnsi="Calibri"/>
                <w:sz w:val="22"/>
              </w:rPr>
              <w:t>No formal Q guidance</w:t>
            </w:r>
          </w:p>
        </w:tc>
        <w:tc>
          <w:tcPr>
            <w:tcW w:type="dxa" w:w="960"/>
          </w:tcPr>
          <w:p>
            <w:r>
              <w:rPr>
                <w:rFonts w:ascii="Calibri" w:hAnsi="Calibri"/>
                <w:sz w:val="22"/>
              </w:rPr>
              <w:t>—</w:t>
            </w:r>
          </w:p>
        </w:tc>
        <w:tc>
          <w:tcPr>
            <w:tcW w:type="dxa" w:w="960"/>
          </w:tcPr>
          <w:p>
            <w:r>
              <w:rPr>
                <w:rFonts w:ascii="Calibri" w:hAnsi="Calibri"/>
                <w:sz w:val="22"/>
              </w:rPr>
              <w:t>N/A</w:t>
            </w:r>
          </w:p>
        </w:tc>
      </w:tr>
    </w:tbl>
    <w:p>
      <w:r>
        <w:rPr>
          <w:rFonts w:ascii="Calibri" w:hAnsi="Calibri"/>
          <w:i/>
          <w:color w:val="525866"/>
          <w:sz w:val="22"/>
        </w:rPr>
        <w:t>Source: Visible Alpha. Estimate baseline = 5 trading days post Q1 2026 earnings (May 11, 2026). The ~5% EBITDA estimate compression for Q2 since the post-Q1 baseline is the most notable revision — this likely reflects the Street more fully pricing in the ~$30M Freedom 250 net loss. FY estimates have been remarkably stable, consistent with management’s reaffirmation of full-year guidance.</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TKO has </w:t>
      </w:r>
      <w:r>
        <w:rPr>
          <w:rFonts w:ascii="Calibri" w:hAnsi="Calibri"/>
          <w:b/>
          <w:color w:val="525866"/>
          <w:sz w:val="22"/>
        </w:rPr>
        <w:t>underperformed the S&amp;P 500 by ~6.3 percentage points</w:t>
      </w:r>
      <w:r>
        <w:rPr>
          <w:rFonts w:ascii="Calibri" w:hAnsi="Calibri"/>
          <w:color w:val="525866"/>
          <w:sz w:val="22"/>
        </w:rPr>
        <w:t xml:space="preserve"> since Q1 earnings (TKO -4.5% vs. SPY +1.8%), with the stock peaking around mid-June (~$215) before pulling back; the underperformance appears driven by </w:t>
      </w:r>
      <w:r>
        <w:rPr>
          <w:rFonts w:ascii="Calibri" w:hAnsi="Calibri"/>
          <w:b/>
          <w:color w:val="525866"/>
          <w:sz w:val="22"/>
        </w:rPr>
        <w:t>multiple compression rather than estimate cuts</w:t>
      </w:r>
      <w:r>
        <w:rPr>
          <w:rFonts w:ascii="Calibri" w:hAnsi="Calibri"/>
          <w:color w:val="525866"/>
          <w:sz w:val="22"/>
        </w:rPr>
        <w:t>, creating a modestly favorable setup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TKO vs. CMCSA vs. S&amp;P 500 (SPY) — Indexed to 100 at Q1 2026 Earnings (May 6, 2026). Source: Yahoo Finance.</w:t>
      </w:r>
    </w:p>
    <w:p>
      <w:pPr>
        <w:pStyle w:val="ListBullet"/>
        <w:ind w:left="360" w:hanging="360"/>
      </w:pPr>
      <w:r>
        <w:rPr>
          <w:rFonts w:ascii="Calibri" w:hAnsi="Calibri"/>
          <w:color w:val="525866"/>
          <w:sz w:val="22"/>
        </w:rPr>
        <w:t xml:space="preserve">TKO opened Q1 earnings at $190.47 and is currently ~$181.81 (as of Aug 1), </w:t>
      </w:r>
      <w:r>
        <w:rPr>
          <w:rFonts w:ascii="Calibri" w:hAnsi="Calibri"/>
          <w:b/>
          <w:color w:val="525866"/>
          <w:sz w:val="22"/>
        </w:rPr>
        <w:t>down ~4.5% since earnings</w:t>
      </w:r>
    </w:p>
    <w:p>
      <w:pPr>
        <w:pStyle w:val="ListBullet"/>
        <w:ind w:left="360" w:hanging="360"/>
      </w:pPr>
      <w:r>
        <w:rPr>
          <w:rFonts w:ascii="Calibri" w:hAnsi="Calibri"/>
          <w:color w:val="525866"/>
          <w:sz w:val="22"/>
        </w:rPr>
        <w:t>SPY is up ~1.8% over the same period; CMCSA is down ~9.4% — TKO has outperformed its media peer but lagged the broader market</w:t>
      </w:r>
    </w:p>
    <w:p>
      <w:pPr>
        <w:pStyle w:val="ListBullet"/>
        <w:ind w:left="360" w:hanging="360"/>
      </w:pPr>
      <w:r>
        <w:rPr>
          <w:rFonts w:ascii="Calibri" w:hAnsi="Calibri"/>
          <w:color w:val="525866"/>
          <w:sz w:val="22"/>
        </w:rPr>
        <w:t>TKO peaked at ~$215.88 on June 26 (day of UFC Freedom 250 viewership announcement — 34M global viewers) before pulling back ~15% from that peak</w:t>
      </w:r>
    </w:p>
    <w:p>
      <w:pPr>
        <w:pStyle w:val="ListBullet"/>
        <w:ind w:left="360" w:hanging="360"/>
      </w:pPr>
      <w:r>
        <w:rPr>
          <w:rFonts w:ascii="Calibri" w:hAnsi="Calibri"/>
          <w:color w:val="525866"/>
          <w:sz w:val="22"/>
        </w:rPr>
        <w:t>The stock has been range-bound between $180–$215 since Q1 earnings, with no sustained breakout; the pullback appears sentiment/multiple-driven rather than estimate-driven</w:t>
      </w:r>
    </w:p>
    <w:p>
      <w:pPr>
        <w:pStyle w:val="ListBullet"/>
        <w:ind w:left="360" w:hanging="360"/>
      </w:pPr>
      <w:r>
        <w:rPr>
          <w:rFonts w:ascii="Calibri" w:hAnsi="Calibri"/>
          <w:color w:val="525866"/>
          <w:sz w:val="22"/>
        </w:rPr>
        <w:t>Sector ETF note: CMCSA used as a media/entertainment proxy; no pure-play sports entertainment ETF exists</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successful execution of UFC Freedom 250 (34M global viewers — biggest UFC event ever)</w:t>
      </w:r>
      <w:r>
        <w:rPr>
          <w:rFonts w:ascii="Calibri" w:hAnsi="Calibri"/>
          <w:color w:val="525866"/>
          <w:sz w:val="22"/>
        </w:rPr>
        <w:t xml:space="preserve"> and the </w:t>
      </w:r>
      <w:r>
        <w:rPr>
          <w:rFonts w:ascii="Calibri" w:hAnsi="Calibri"/>
          <w:b/>
          <w:color w:val="525866"/>
          <w:sz w:val="22"/>
        </w:rPr>
        <w:t>historic WWE/UFC doubleheader in Saudi Arabia/Azerbaijan</w:t>
      </w:r>
      <w:r>
        <w:rPr>
          <w:rFonts w:ascii="Calibri" w:hAnsi="Calibri"/>
          <w:color w:val="525866"/>
          <w:sz w:val="22"/>
        </w:rPr>
        <w:t>, both validating TKO’s premium event strategy and Middle East partnership durability.</w:t>
      </w:r>
    </w:p>
    <w:p>
      <w:pPr>
        <w:pStyle w:val="ListBullet"/>
        <w:ind w:left="360" w:hanging="360"/>
      </w:pPr>
      <w:r>
        <w:rPr>
          <w:rFonts w:ascii="Calibri" w:hAnsi="Calibri"/>
          <w:b/>
          <w:color w:val="525866"/>
          <w:sz w:val="22"/>
        </w:rPr>
        <w:t>June 26, 2026 — UFC Freedom 250 Delivers 34M Global Viewers:</w:t>
      </w:r>
      <w:r>
        <w:rPr>
          <w:rFonts w:ascii="Calibri" w:hAnsi="Calibri"/>
          <w:color w:val="525866"/>
          <w:sz w:val="22"/>
        </w:rPr>
        <w:t xml:space="preserve"> The White House event was called TKO’s biggest UFC event ever; despite the ~$30M net loss, the earned media value and brand investment thesis was validated. Implication: FIP revenue from future marquee events should be easier to price given demonstrated demand.</w:t>
      </w:r>
    </w:p>
    <w:p>
      <w:pPr>
        <w:pStyle w:val="ListBullet"/>
        <w:ind w:left="360" w:hanging="360"/>
      </w:pPr>
      <w:r>
        <w:rPr>
          <w:rFonts w:ascii="Calibri" w:hAnsi="Calibri"/>
          <w:b/>
          <w:color w:val="525866"/>
          <w:sz w:val="22"/>
        </w:rPr>
        <w:t>June 27, 2026 — Historic WWE/UFC Doubleheader (Saudi Arabia + Azerbaijan):</w:t>
      </w:r>
      <w:r>
        <w:rPr>
          <w:rFonts w:ascii="Calibri" w:hAnsi="Calibri"/>
          <w:color w:val="525866"/>
          <w:sz w:val="22"/>
        </w:rPr>
        <w:t xml:space="preserve"> First-ever same-night WWE and UFC event pairing; WWE Night of Champions drew 18,000+ fans at Kingdom Arena (sold out), UFC Fight Night Baku drew 10,500+ fans (sold out, 72 countries represented). Implication: Middle East geopolitical risk flagged on the Q1 call has not materialized; FIP revenue from both events should be recognized in Q2.</w:t>
      </w:r>
    </w:p>
    <w:p>
      <w:pPr>
        <w:pStyle w:val="ListBullet"/>
        <w:ind w:left="360" w:hanging="360"/>
      </w:pPr>
      <w:r>
        <w:rPr>
          <w:rFonts w:ascii="Calibri" w:hAnsi="Calibri"/>
          <w:b/>
          <w:color w:val="525866"/>
          <w:sz w:val="22"/>
        </w:rPr>
        <w:t>June 30, 2026 — $800M Accelerated Share Repurchase Completed:</w:t>
      </w:r>
      <w:r>
        <w:rPr>
          <w:rFonts w:ascii="Calibri" w:hAnsi="Calibri"/>
          <w:color w:val="525866"/>
          <w:sz w:val="22"/>
        </w:rPr>
        <w:t xml:space="preserve"> TKO completed its ASR program, buying back ~4.17M Class A shares. The $200M 10b5-1 plan continues through August 31, 2026. Implication: Capital return execution is ahead of schedule; net share count reduction is a tailwind for EPS.</w:t>
      </w:r>
    </w:p>
    <w:p>
      <w:pPr>
        <w:pStyle w:val="ListBullet"/>
        <w:ind w:left="360" w:hanging="360"/>
      </w:pPr>
      <w:r>
        <w:rPr>
          <w:rFonts w:ascii="Calibri" w:hAnsi="Calibri"/>
          <w:b/>
          <w:color w:val="525866"/>
          <w:sz w:val="22"/>
        </w:rPr>
        <w:t>June 4, 2026 — Paramount and UFC Expand Partnership to Canada Beginning 2027:</w:t>
      </w:r>
      <w:r>
        <w:rPr>
          <w:rFonts w:ascii="Calibri" w:hAnsi="Calibri"/>
          <w:color w:val="525866"/>
          <w:sz w:val="22"/>
        </w:rPr>
        <w:t xml:space="preserve"> Paramount+ will carry UFC content in Canada starting 2027, extending the media rights relationship beyond the U.S. Implication: Incremental media rights revenue and distribution expansion for UFC; positive read-through for the Paramount/WBD merger thesis.</w:t>
      </w:r>
    </w:p>
    <w:p>
      <w:pPr>
        <w:pStyle w:val="ListBullet"/>
        <w:ind w:left="360" w:hanging="360"/>
      </w:pPr>
      <w:r>
        <w:rPr>
          <w:rFonts w:ascii="Calibri" w:hAnsi="Calibri"/>
          <w:b/>
          <w:color w:val="525866"/>
          <w:sz w:val="22"/>
        </w:rPr>
        <w:t>May 12, 2026 — Share Repurchase Plan Updated ($200M 10b5-1):</w:t>
      </w:r>
      <w:r>
        <w:rPr>
          <w:rFonts w:ascii="Calibri" w:hAnsi="Calibri"/>
          <w:color w:val="525866"/>
          <w:sz w:val="22"/>
        </w:rPr>
        <w:t xml:space="preserve"> Board updated the $200M 10b5-1 plan with commencement May 14, running through August 31, 2026. Implication: Ongoing buyback activity provides a floor for the stock.</w:t>
      </w:r>
    </w:p>
    <w:p>
      <w:pPr>
        <w:pStyle w:val="ListBullet"/>
        <w:ind w:left="360" w:hanging="360"/>
      </w:pPr>
      <w:r>
        <w:rPr>
          <w:rFonts w:ascii="Calibri" w:hAnsi="Calibri"/>
          <w:b/>
          <w:color w:val="525866"/>
          <w:sz w:val="22"/>
        </w:rPr>
        <w:t>Paramount/WBD Merger (Expected Q3 2026 Close):</w:t>
      </w:r>
      <w:r>
        <w:rPr>
          <w:rFonts w:ascii="Calibri" w:hAnsi="Calibri"/>
          <w:color w:val="525866"/>
          <w:sz w:val="22"/>
        </w:rPr>
        <w:t xml:space="preserve"> Paramount acquiring Warner Bros. Discovery is expected to close in Q3 2026. Management expressed strong enthusiasm for the combined entity’s potential to expand UFC and Zuffa Boxing distribution across Paramount+, HBO Max, CBS, TNT, and Bleacher Report. Implication: This is the single biggest medium-term catalyst for TKO’s media rights monetization; any color on timing or deal structure on the Q2 call will be closely watched.</w:t>
      </w:r>
    </w:p>
    <w:p>
      <w:pPr>
        <w:pStyle w:val="ListBullet"/>
        <w:ind w:left="360" w:hanging="360"/>
      </w:pPr>
      <w:r>
        <w:rPr>
          <w:rFonts w:ascii="Calibri" w:hAnsi="Calibri"/>
          <w:b/>
          <w:color w:val="525866"/>
          <w:sz w:val="22"/>
        </w:rPr>
        <w:t>On Location / FIFA World Cup (June 11 – July 19, 2026):</w:t>
      </w:r>
      <w:r>
        <w:rPr>
          <w:rFonts w:ascii="Calibri" w:hAnsi="Calibri"/>
          <w:color w:val="525866"/>
          <w:sz w:val="22"/>
        </w:rPr>
        <w:t xml:space="preserve"> On Location’s hospitality program for the FIFA World Cup was a key Q2 driver for the IMG segment. Management noted ongoing LA28 sales costs partially offset World Cup EBITDA. Implication: World Cup revenue recognition should be largely in Q2; LA28 costs are a multi-year drag but represent a long-term asset.</w:t>
      </w:r>
    </w:p>
    <w:p>
      <w:pPr>
        <w:pStyle w:val="ListBullet"/>
        <w:ind w:left="360" w:hanging="360"/>
      </w:pPr>
      <w:r>
        <w:rPr>
          <w:rFonts w:ascii="Calibri" w:hAnsi="Calibri"/>
          <w:b/>
          <w:color w:val="525866"/>
          <w:sz w:val="22"/>
        </w:rPr>
        <w:t>UFC Fight Night Abu Dhabi (July 25, 2026):</w:t>
      </w:r>
      <w:r>
        <w:rPr>
          <w:rFonts w:ascii="Calibri" w:hAnsi="Calibri"/>
          <w:color w:val="525866"/>
          <w:sz w:val="22"/>
        </w:rPr>
        <w:t xml:space="preserve"> A new UFC Fight Night in Abu Dhabi was staged, reflecting partner demand for accelerated event pace. Implication: Q3 FIP revenue visibility improving; Middle East partners are leaning in, not pulling back.</w:t>
      </w:r>
    </w:p>
    <w:p>
      <w:r>
        <w:br w:type="page"/>
      </w:r>
    </w:p>
    <w:p>
      <w:pPr>
        <w:pStyle w:val="Heading2"/>
      </w:pPr>
      <w:r>
        <w:rPr>
          <w:rFonts w:ascii="Calibri" w:hAnsi="Calibri"/>
          <w:b/>
          <w:color w:val="3B4259"/>
          <w:sz w:val="28"/>
        </w:rPr>
        <w:t>Peer Commentary — Q2 2026 Read-Throughs (Last 60 Days)</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TKO’s Q2 setup — </w:t>
      </w:r>
      <w:r>
        <w:rPr>
          <w:rFonts w:ascii="Calibri" w:hAnsi="Calibri"/>
          <w:b/>
          <w:color w:val="525866"/>
          <w:sz w:val="22"/>
        </w:rPr>
        <w:t>Live Nation’s record fan attendance and sponsorship growth</w:t>
      </w:r>
      <w:r>
        <w:rPr>
          <w:rFonts w:ascii="Calibri" w:hAnsi="Calibri"/>
          <w:color w:val="525866"/>
          <w:sz w:val="22"/>
        </w:rPr>
        <w:t xml:space="preserve"> validate live event demand, </w:t>
      </w:r>
      <w:r>
        <w:rPr>
          <w:rFonts w:ascii="Calibri" w:hAnsi="Calibri"/>
          <w:b/>
          <w:color w:val="525866"/>
          <w:sz w:val="22"/>
        </w:rPr>
        <w:t>Paramount’s UFC viewership data confirms media rights value</w:t>
      </w:r>
      <w:r>
        <w:rPr>
          <w:rFonts w:ascii="Calibri" w:hAnsi="Calibri"/>
          <w:color w:val="525866"/>
          <w:sz w:val="22"/>
        </w:rPr>
        <w:t xml:space="preserve">, and </w:t>
      </w:r>
      <w:r>
        <w:rPr>
          <w:rFonts w:ascii="Calibri" w:hAnsi="Calibri"/>
          <w:b/>
          <w:color w:val="525866"/>
          <w:sz w:val="22"/>
        </w:rPr>
        <w:t>CMCSA’s World Cup success on Peacock</w:t>
      </w:r>
      <w:r>
        <w:rPr>
          <w:rFonts w:ascii="Calibri" w:hAnsi="Calibri"/>
          <w:color w:val="525866"/>
          <w:sz w:val="22"/>
        </w:rPr>
        <w:t xml:space="preserve"> supports On Location’s hospitality thesis.</w:t>
      </w:r>
    </w:p>
    <w:p>
      <w:r>
        <w:rPr>
          <w:rFonts w:ascii="Calibri" w:hAnsi="Calibri"/>
          <w:i/>
          <w:color w:val="525866"/>
          <w:sz w:val="22"/>
        </w:rPr>
        <w:t>Note: All commentary below is from peers reporting Q2 2026 results or providing Q2/current-quarter forward guidance. No prior-quarter retrospective commentary is included.</w:t>
      </w:r>
    </w:p>
    <w:p>
      <w:pPr>
        <w:pStyle w:val="Heading3"/>
      </w:pPr>
      <w:r>
        <w:rPr>
          <w:rFonts w:ascii="Calibri" w:hAnsi="Calibri"/>
          <w:b/>
          <w:color w:val="3B4259"/>
          <w:sz w:val="24"/>
        </w:rPr>
        <w:t>A. Live Nation Entertainment (LYV) — Q2 2026 Earnings (July 30, 2026)</w:t>
      </w:r>
    </w:p>
    <w:p>
      <w:r>
        <w:rPr>
          <w:rFonts w:ascii="Calibri" w:hAnsi="Calibri"/>
          <w:b/>
          <w:color w:val="525866"/>
          <w:sz w:val="22"/>
        </w:rPr>
        <w:t xml:space="preserve">Relevance: </w:t>
      </w:r>
      <w:r>
        <w:rPr>
          <w:rFonts w:ascii="Calibri" w:hAnsi="Calibri"/>
          <w:color w:val="525866"/>
          <w:sz w:val="22"/>
        </w:rPr>
        <w:t>Strongest direct read-through for TKO’s live events and partnerships/marketing segments.</w:t>
      </w:r>
    </w:p>
    <w:p>
      <w:pPr>
        <w:pStyle w:val="ListBullet"/>
        <w:ind w:left="360" w:hanging="360"/>
      </w:pPr>
      <w:r>
        <w:rPr>
          <w:rFonts w:ascii="Calibri" w:hAnsi="Calibri"/>
          <w:b/>
          <w:color w:val="525866"/>
          <w:sz w:val="22"/>
        </w:rPr>
        <w:t>Record fan attendance:</w:t>
      </w:r>
      <w:r>
        <w:rPr>
          <w:rFonts w:ascii="Calibri" w:hAnsi="Calibri"/>
          <w:color w:val="525866"/>
          <w:sz w:val="22"/>
        </w:rPr>
        <w:t xml:space="preserve"> Nearly 49 million fans attended Live Nation shows in Q2 2026, up 10% YoY. CEO Michael Rapino: “Numbers are up across the board, whether it’s International, America clubs, amphitheaters or stadiums, all genres, all venues and all geographies right now up over 10% in terms of fan count.” </w:t>
      </w:r>
      <w:r>
        <w:rPr>
          <w:rFonts w:ascii="Calibri" w:hAnsi="Calibri"/>
          <w:b/>
          <w:color w:val="525866"/>
          <w:sz w:val="22"/>
        </w:rPr>
        <w:t>Read-through:</w:t>
      </w:r>
      <w:r>
        <w:rPr>
          <w:rFonts w:ascii="Calibri" w:hAnsi="Calibri"/>
          <w:color w:val="525866"/>
          <w:sz w:val="22"/>
        </w:rPr>
        <w:t xml:space="preserve"> Consumer demand for live entertainment remains robust heading into TKO’s Q2 print; no demand softness to worry about.</w:t>
      </w:r>
    </w:p>
    <w:p>
      <w:pPr>
        <w:pStyle w:val="ListBullet"/>
        <w:ind w:left="360" w:hanging="360"/>
      </w:pPr>
      <w:r>
        <w:rPr>
          <w:rFonts w:ascii="Calibri" w:hAnsi="Calibri"/>
          <w:b/>
          <w:color w:val="525866"/>
          <w:sz w:val="22"/>
        </w:rPr>
        <w:t>No consumer concerns:</w:t>
      </w:r>
      <w:r>
        <w:rPr>
          <w:rFonts w:ascii="Calibri" w:hAnsi="Calibri"/>
          <w:color w:val="525866"/>
          <w:sz w:val="22"/>
        </w:rPr>
        <w:t xml:space="preserve"> “We’ve seen no consumer issues to date in terms of purchasing... consumers buy at record levels.” Cancellation rates at historic lows (1.1% vs. 1.6% average). </w:t>
      </w:r>
      <w:r>
        <w:rPr>
          <w:rFonts w:ascii="Calibri" w:hAnsi="Calibri"/>
          <w:b/>
          <w:color w:val="525866"/>
          <w:sz w:val="22"/>
        </w:rPr>
        <w:t>Read-through:</w:t>
      </w:r>
      <w:r>
        <w:rPr>
          <w:rFonts w:ascii="Calibri" w:hAnsi="Calibri"/>
          <w:color w:val="525866"/>
          <w:sz w:val="22"/>
        </w:rPr>
        <w:t xml:space="preserve"> Ticket demand and fan commitment for TKO’s live events (WrestleMania, UFC events) should be strong.</w:t>
      </w:r>
    </w:p>
    <w:p>
      <w:pPr>
        <w:pStyle w:val="ListBullet"/>
        <w:ind w:left="360" w:hanging="360"/>
      </w:pPr>
      <w:r>
        <w:rPr>
          <w:rFonts w:ascii="Calibri" w:hAnsi="Calibri"/>
          <w:b/>
          <w:color w:val="525866"/>
          <w:sz w:val="22"/>
        </w:rPr>
        <w:t>Sponsorship up 12%:</w:t>
      </w:r>
      <w:r>
        <w:rPr>
          <w:rFonts w:ascii="Calibri" w:hAnsi="Calibri"/>
          <w:color w:val="525866"/>
          <w:sz w:val="22"/>
        </w:rPr>
        <w:t xml:space="preserve"> Sponsorship &amp; Advertising revenue of $383M, up 12% YoY; strategic partners (&gt;$1M revenue) up 20%+. “Brand demand remains broad-based.” </w:t>
      </w:r>
      <w:r>
        <w:rPr>
          <w:rFonts w:ascii="Calibri" w:hAnsi="Calibri"/>
          <w:b/>
          <w:color w:val="525866"/>
          <w:sz w:val="22"/>
        </w:rPr>
        <w:t>Read-through:</w:t>
      </w:r>
      <w:r>
        <w:rPr>
          <w:rFonts w:ascii="Calibri" w:hAnsi="Calibri"/>
          <w:color w:val="525866"/>
          <w:sz w:val="22"/>
        </w:rPr>
        <w:t xml:space="preserve"> Positive for TKO’s Partnerships &amp; Marketing segment, which is tracking to $450M for FY2026 (well above the original $375M target).</w:t>
      </w:r>
    </w:p>
    <w:p>
      <w:pPr>
        <w:pStyle w:val="ListBullet"/>
        <w:ind w:left="360" w:hanging="360"/>
      </w:pPr>
      <w:r>
        <w:rPr>
          <w:rFonts w:ascii="Calibri" w:hAnsi="Calibri"/>
          <w:b/>
          <w:color w:val="525866"/>
          <w:sz w:val="22"/>
        </w:rPr>
        <w:t>Record deferred revenue:</w:t>
      </w:r>
      <w:r>
        <w:rPr>
          <w:rFonts w:ascii="Calibri" w:hAnsi="Calibri"/>
          <w:color w:val="525866"/>
          <w:sz w:val="22"/>
        </w:rPr>
        <w:t xml:space="preserve"> Q2 ended with record event-related deferred revenue of $6.4B, up 25%, “pointing to accelerating stadium and amphitheater activity in the second half.” </w:t>
      </w:r>
      <w:r>
        <w:rPr>
          <w:rFonts w:ascii="Calibri" w:hAnsi="Calibri"/>
          <w:b/>
          <w:color w:val="525866"/>
          <w:sz w:val="22"/>
        </w:rPr>
        <w:t>Read-through:</w:t>
      </w:r>
      <w:r>
        <w:rPr>
          <w:rFonts w:ascii="Calibri" w:hAnsi="Calibri"/>
          <w:color w:val="525866"/>
          <w:sz w:val="22"/>
        </w:rPr>
        <w:t xml:space="preserve"> Strong H2 live event pipeline supports TKO’s back-half FIP and live event revenue visibility.</w:t>
      </w:r>
    </w:p>
    <w:p>
      <w:pPr>
        <w:pStyle w:val="ListBullet"/>
        <w:ind w:left="360" w:hanging="360"/>
      </w:pPr>
      <w:r>
        <w:rPr>
          <w:rFonts w:ascii="Calibri" w:hAnsi="Calibri"/>
          <w:b/>
          <w:color w:val="525866"/>
          <w:sz w:val="22"/>
        </w:rPr>
        <w:t>Full-year outlook:</w:t>
      </w:r>
      <w:r>
        <w:rPr>
          <w:rFonts w:ascii="Calibri" w:hAnsi="Calibri"/>
          <w:color w:val="525866"/>
          <w:sz w:val="22"/>
        </w:rPr>
        <w:t xml:space="preserve"> “2026 is going to be an absolute record year” with double-digit AOI growth expected. </w:t>
      </w:r>
      <w:r>
        <w:rPr>
          <w:rFonts w:ascii="Calibri" w:hAnsi="Calibri"/>
          <w:b/>
          <w:color w:val="525866"/>
          <w:sz w:val="22"/>
        </w:rPr>
        <w:t>Read-through:</w:t>
      </w:r>
      <w:r>
        <w:rPr>
          <w:rFonts w:ascii="Calibri" w:hAnsi="Calibri"/>
          <w:color w:val="525866"/>
          <w:sz w:val="22"/>
        </w:rPr>
        <w:t xml:space="preserve"> Sector tailwinds remain intact for TKO’s full-year guidance reaffirmation.</w:t>
      </w:r>
    </w:p>
    <w:p>
      <w:pPr>
        <w:pStyle w:val="Heading3"/>
      </w:pPr>
      <w:r>
        <w:rPr>
          <w:rFonts w:ascii="Calibri" w:hAnsi="Calibri"/>
          <w:b/>
          <w:color w:val="3B4259"/>
          <w:sz w:val="24"/>
        </w:rPr>
        <w:t>B. Comcast / NBCUniversal (CMCSA) — Q2 2026 Earnings (July 23, 2026)</w:t>
      </w:r>
    </w:p>
    <w:p>
      <w:r>
        <w:rPr>
          <w:rFonts w:ascii="Calibri" w:hAnsi="Calibri"/>
          <w:b/>
          <w:color w:val="525866"/>
          <w:sz w:val="22"/>
        </w:rPr>
        <w:t xml:space="preserve">Relevance: </w:t>
      </w:r>
      <w:r>
        <w:rPr>
          <w:rFonts w:ascii="Calibri" w:hAnsi="Calibri"/>
          <w:color w:val="525866"/>
          <w:sz w:val="22"/>
        </w:rPr>
        <w:t>Read-through for TKO’s media rights value and On Location’s FIFA World Cup hospitality.</w:t>
      </w:r>
    </w:p>
    <w:p>
      <w:pPr>
        <w:pStyle w:val="ListBullet"/>
        <w:ind w:left="360" w:hanging="360"/>
      </w:pPr>
      <w:r>
        <w:rPr>
          <w:rFonts w:ascii="Calibri" w:hAnsi="Calibri"/>
          <w:b/>
          <w:color w:val="525866"/>
          <w:sz w:val="22"/>
        </w:rPr>
        <w:t>World Cup drove record engagement:</w:t>
      </w:r>
      <w:r>
        <w:rPr>
          <w:rFonts w:ascii="Calibri" w:hAnsi="Calibri"/>
          <w:color w:val="525866"/>
          <w:sz w:val="22"/>
        </w:rPr>
        <w:t xml:space="preserve"> “The World Cup has been terrific for us, delivering the biggest Spanish language sporting event in U.S. media history and record engagement for Telemundo and Peacock.” Peacock advertising revenue increased nearly 70% in Q2, fueled by the World Cup, NBA playoffs, and Love Island. </w:t>
      </w:r>
      <w:r>
        <w:rPr>
          <w:rFonts w:ascii="Calibri" w:hAnsi="Calibri"/>
          <w:b/>
          <w:color w:val="525866"/>
          <w:sz w:val="22"/>
        </w:rPr>
        <w:t>Read-through:</w:t>
      </w:r>
      <w:r>
        <w:rPr>
          <w:rFonts w:ascii="Calibri" w:hAnsi="Calibri"/>
          <w:color w:val="525866"/>
          <w:sz w:val="22"/>
        </w:rPr>
        <w:t xml:space="preserve"> The FIFA World Cup was a massive viewership and advertising event — validates On Location’s hospitality revenue opportunity in Q2 and supports TKO’s IMG segment.</w:t>
      </w:r>
    </w:p>
    <w:p>
      <w:pPr>
        <w:pStyle w:val="ListBullet"/>
        <w:ind w:left="360" w:hanging="360"/>
      </w:pPr>
      <w:r>
        <w:rPr>
          <w:rFonts w:ascii="Calibri" w:hAnsi="Calibri"/>
          <w:b/>
          <w:color w:val="525866"/>
          <w:sz w:val="22"/>
        </w:rPr>
        <w:t>Peacock reached profitability:</w:t>
      </w:r>
      <w:r>
        <w:rPr>
          <w:rFonts w:ascii="Calibri" w:hAnsi="Calibri"/>
          <w:color w:val="525866"/>
          <w:sz w:val="22"/>
        </w:rPr>
        <w:t xml:space="preserve"> Peacock generated $189M of EBITDA in Q2 for the first time, adding 2M paid subscribers to reach 48M total. “Live sports news and extraordinary storytelling” anchored the growth. </w:t>
      </w:r>
      <w:r>
        <w:rPr>
          <w:rFonts w:ascii="Calibri" w:hAnsi="Calibri"/>
          <w:b/>
          <w:color w:val="525866"/>
          <w:sz w:val="22"/>
        </w:rPr>
        <w:t>Read-through:</w:t>
      </w:r>
      <w:r>
        <w:rPr>
          <w:rFonts w:ascii="Calibri" w:hAnsi="Calibri"/>
          <w:color w:val="525866"/>
          <w:sz w:val="22"/>
        </w:rPr>
        <w:t xml:space="preserve"> Sports content is driving streaming profitability — positive for TKO’s media rights pricing power in future renewals.</w:t>
      </w:r>
    </w:p>
    <w:p>
      <w:pPr>
        <w:pStyle w:val="ListBullet"/>
        <w:ind w:left="360" w:hanging="360"/>
      </w:pPr>
      <w:r>
        <w:rPr>
          <w:rFonts w:ascii="Calibri" w:hAnsi="Calibri"/>
          <w:b/>
          <w:color w:val="525866"/>
          <w:sz w:val="22"/>
        </w:rPr>
        <w:t>Sports content drives subscriber growth:</w:t>
      </w:r>
      <w:r>
        <w:rPr>
          <w:rFonts w:ascii="Calibri" w:hAnsi="Calibri"/>
          <w:color w:val="525866"/>
          <w:sz w:val="22"/>
        </w:rPr>
        <w:t xml:space="preserve"> “The NBA, Love Island and the World Cup are all contributing to strong engagement and robust ad sales across both linear and streaming.” </w:t>
      </w:r>
      <w:r>
        <w:rPr>
          <w:rFonts w:ascii="Calibri" w:hAnsi="Calibri"/>
          <w:b/>
          <w:color w:val="525866"/>
          <w:sz w:val="22"/>
        </w:rPr>
        <w:t>Read-through:</w:t>
      </w:r>
      <w:r>
        <w:rPr>
          <w:rFonts w:ascii="Calibri" w:hAnsi="Calibri"/>
          <w:color w:val="525866"/>
          <w:sz w:val="22"/>
        </w:rPr>
        <w:t xml:space="preserve"> Live sports remain the most valuable content category for streaming platforms — supports TKO’s leverage in future UFC and WWE media rights negotiations.</w:t>
      </w:r>
    </w:p>
    <w:p>
      <w:pPr>
        <w:pStyle w:val="ListBullet"/>
        <w:ind w:left="360" w:hanging="360"/>
      </w:pPr>
      <w:r>
        <w:rPr>
          <w:rFonts w:ascii="Calibri" w:hAnsi="Calibri"/>
          <w:b/>
          <w:color w:val="525866"/>
          <w:sz w:val="22"/>
        </w:rPr>
        <w:t>Theme park softness (not a TKO read-through):</w:t>
      </w:r>
      <w:r>
        <w:rPr>
          <w:rFonts w:ascii="Calibri" w:hAnsi="Calibri"/>
          <w:color w:val="525866"/>
          <w:sz w:val="22"/>
        </w:rPr>
        <w:t xml:space="preserve"> CMCSA noted theme park attendance softened in June due to “higher fuel prices and weaker consumer sentiment” — this is specific to theme parks and does not read through to live sports/entertainment demand.</w:t>
      </w:r>
    </w:p>
    <w:p>
      <w:pPr>
        <w:pStyle w:val="Heading3"/>
      </w:pPr>
      <w:r>
        <w:rPr>
          <w:rFonts w:ascii="Calibri" w:hAnsi="Calibri"/>
          <w:b/>
          <w:color w:val="3B4259"/>
          <w:sz w:val="24"/>
        </w:rPr>
        <w:t>C. Paramount Skydance (PARA) — Needham Conference (May 12, 2026)</w:t>
      </w:r>
    </w:p>
    <w:p>
      <w:r>
        <w:rPr>
          <w:rFonts w:ascii="Calibri" w:hAnsi="Calibri"/>
          <w:b/>
          <w:color w:val="525866"/>
          <w:sz w:val="22"/>
        </w:rPr>
        <w:t xml:space="preserve">Relevance: </w:t>
      </w:r>
      <w:r>
        <w:rPr>
          <w:rFonts w:ascii="Calibri" w:hAnsi="Calibri"/>
          <w:color w:val="525866"/>
          <w:sz w:val="22"/>
        </w:rPr>
        <w:t>Direct read-through for UFC media rights performance on Paramount+.</w:t>
      </w:r>
    </w:p>
    <w:p>
      <w:pPr>
        <w:pStyle w:val="ListBullet"/>
        <w:ind w:left="360" w:hanging="360"/>
      </w:pPr>
      <w:r>
        <w:rPr>
          <w:rFonts w:ascii="Calibri" w:hAnsi="Calibri"/>
          <w:b/>
          <w:color w:val="525866"/>
          <w:sz w:val="22"/>
        </w:rPr>
        <w:t>UFC performing “really well” on Paramount+:</w:t>
      </w:r>
      <w:r>
        <w:rPr>
          <w:rFonts w:ascii="Calibri" w:hAnsi="Calibri"/>
          <w:color w:val="525866"/>
          <w:sz w:val="22"/>
        </w:rPr>
        <w:t xml:space="preserve"> CFO Dennis Cinelli: “We made a big investment in UFC... This is performing really well on Paramount+, 10 million viewers, 100 million cumulative hours.” Attracting “generally younger viewers” and driving year-round engagement. </w:t>
      </w:r>
      <w:r>
        <w:rPr>
          <w:rFonts w:ascii="Calibri" w:hAnsi="Calibri"/>
          <w:b/>
          <w:color w:val="525866"/>
          <w:sz w:val="22"/>
        </w:rPr>
        <w:t>Read-through:</w:t>
      </w:r>
      <w:r>
        <w:rPr>
          <w:rFonts w:ascii="Calibri" w:hAnsi="Calibri"/>
          <w:color w:val="525866"/>
          <w:sz w:val="22"/>
        </w:rPr>
        <w:t xml:space="preserve"> The Paramount media rights deal is delivering on its strategic rationale for both parties — TKO’s media rights revenue step-up is being earned, not just contracted.</w:t>
      </w:r>
    </w:p>
    <w:p>
      <w:pPr>
        <w:pStyle w:val="ListBullet"/>
        <w:ind w:left="360" w:hanging="360"/>
      </w:pPr>
      <w:r>
        <w:rPr>
          <w:rFonts w:ascii="Calibri" w:hAnsi="Calibri"/>
          <w:b/>
          <w:color w:val="525866"/>
          <w:sz w:val="22"/>
        </w:rPr>
        <w:t>UFC in Latin America “performing really well”:</w:t>
      </w:r>
      <w:r>
        <w:rPr>
          <w:rFonts w:ascii="Calibri" w:hAnsi="Calibri"/>
          <w:color w:val="525866"/>
          <w:sz w:val="22"/>
        </w:rPr>
        <w:t xml:space="preserve"> Cinelli specifically called out Latin American UFC performance. </w:t>
      </w:r>
      <w:r>
        <w:rPr>
          <w:rFonts w:ascii="Calibri" w:hAnsi="Calibri"/>
          <w:b/>
          <w:color w:val="525866"/>
          <w:sz w:val="22"/>
        </w:rPr>
        <w:t>Read-through:</w:t>
      </w:r>
      <w:r>
        <w:rPr>
          <w:rFonts w:ascii="Calibri" w:hAnsi="Calibri"/>
          <w:color w:val="525866"/>
          <w:sz w:val="22"/>
        </w:rPr>
        <w:t xml:space="preserve"> International media rights expansion thesis is tracking; supports TKO’s international rights renewal momentum.</w:t>
      </w:r>
    </w:p>
    <w:p>
      <w:pPr>
        <w:pStyle w:val="ListBullet"/>
        <w:ind w:left="360" w:hanging="360"/>
      </w:pPr>
      <w:r>
        <w:rPr>
          <w:rFonts w:ascii="Calibri" w:hAnsi="Calibri"/>
          <w:b/>
          <w:color w:val="525866"/>
          <w:sz w:val="22"/>
        </w:rPr>
        <w:t>Sports as a “key driver” of the combined entity:</w:t>
      </w:r>
      <w:r>
        <w:rPr>
          <w:rFonts w:ascii="Calibri" w:hAnsi="Calibri"/>
          <w:color w:val="525866"/>
          <w:sz w:val="22"/>
        </w:rPr>
        <w:t xml:space="preserve"> Upon merging with WBD, Paramount will gain NASCAR, TNT Sports, Olympics in Europe, and MLB — “sports will be a key driver, not just the NFL, but the overall portfolio.” </w:t>
      </w:r>
      <w:r>
        <w:rPr>
          <w:rFonts w:ascii="Calibri" w:hAnsi="Calibri"/>
          <w:b/>
          <w:color w:val="525866"/>
          <w:sz w:val="22"/>
        </w:rPr>
        <w:t>Read-through:</w:t>
      </w:r>
      <w:r>
        <w:rPr>
          <w:rFonts w:ascii="Calibri" w:hAnsi="Calibri"/>
          <w:color w:val="525866"/>
          <w:sz w:val="22"/>
        </w:rPr>
        <w:t xml:space="preserve"> The combined Paramount/WBD entity will be even more sports-focused, increasing the strategic value of UFC and Zuffa Boxing distribution on the platform.</w:t>
      </w:r>
    </w:p>
    <w:p>
      <w:pPr>
        <w:pStyle w:val="ListBullet"/>
        <w:ind w:left="360" w:hanging="360"/>
      </w:pPr>
      <w:r>
        <w:rPr>
          <w:rFonts w:ascii="Calibri" w:hAnsi="Calibri"/>
          <w:b/>
          <w:color w:val="525866"/>
          <w:sz w:val="22"/>
        </w:rPr>
        <w:t>Merger expected to close Q3 2026:</w:t>
      </w:r>
      <w:r>
        <w:rPr>
          <w:rFonts w:ascii="Calibri" w:hAnsi="Calibri"/>
          <w:color w:val="525866"/>
          <w:sz w:val="22"/>
        </w:rPr>
        <w:t xml:space="preserve"> Cinelli confirmed Q3 close expectation. </w:t>
      </w:r>
      <w:r>
        <w:rPr>
          <w:rFonts w:ascii="Calibri" w:hAnsi="Calibri"/>
          <w:b/>
          <w:color w:val="525866"/>
          <w:sz w:val="22"/>
        </w:rPr>
        <w:t>Read-through:</w:t>
      </w:r>
      <w:r>
        <w:rPr>
          <w:rFonts w:ascii="Calibri" w:hAnsi="Calibri"/>
          <w:color w:val="525866"/>
          <w:sz w:val="22"/>
        </w:rPr>
        <w:t xml:space="preserve"> The Paramount/WBD merger closing is a near-term catalyst for TKO — management commentary on the Q2 call about the combined entity’s appetite for UFC/Zuffa Boxing content will be closely watched.</w:t>
      </w:r>
    </w:p>
    <w:p>
      <w:pPr>
        <w:pStyle w:val="Heading3"/>
      </w:pPr>
      <w:r>
        <w:rPr>
          <w:rFonts w:ascii="Calibri" w:hAnsi="Calibri"/>
          <w:b/>
          <w:color w:val="3B4259"/>
          <w:sz w:val="24"/>
        </w:rPr>
        <w:t>D. Netflix (NFLX) — Q2 2026 Earnings (July 16, 2026)</w:t>
      </w:r>
    </w:p>
    <w:p>
      <w:r>
        <w:rPr>
          <w:rFonts w:ascii="Calibri" w:hAnsi="Calibri"/>
          <w:b/>
          <w:color w:val="525866"/>
          <w:sz w:val="22"/>
        </w:rPr>
        <w:t xml:space="preserve">Relevance: </w:t>
      </w:r>
      <w:r>
        <w:rPr>
          <w:rFonts w:ascii="Calibri" w:hAnsi="Calibri"/>
          <w:color w:val="525866"/>
          <w:sz w:val="22"/>
        </w:rPr>
        <w:t>Read-through for live sports content value and competitive dynamics in media rights.</w:t>
      </w:r>
    </w:p>
    <w:p>
      <w:pPr>
        <w:pStyle w:val="ListBullet"/>
        <w:ind w:left="360" w:hanging="360"/>
      </w:pPr>
      <w:r>
        <w:rPr>
          <w:rFonts w:ascii="Calibri" w:hAnsi="Calibri"/>
          <w:b/>
          <w:color w:val="525866"/>
          <w:sz w:val="22"/>
        </w:rPr>
        <w:t>Live events drive disproportionate subscriber acquisition:</w:t>
      </w:r>
      <w:r>
        <w:rPr>
          <w:rFonts w:ascii="Calibri" w:hAnsi="Calibri"/>
          <w:color w:val="525866"/>
          <w:sz w:val="22"/>
        </w:rPr>
        <w:t xml:space="preserve"> “Six out of top ten new member sign-up days over the past five years have come from live events.” Live content is 5% of content budget but drives outsized acquisition. </w:t>
      </w:r>
      <w:r>
        <w:rPr>
          <w:rFonts w:ascii="Calibri" w:hAnsi="Calibri"/>
          <w:b/>
          <w:color w:val="525866"/>
          <w:sz w:val="22"/>
        </w:rPr>
        <w:t>Read-through:</w:t>
      </w:r>
      <w:r>
        <w:rPr>
          <w:rFonts w:ascii="Calibri" w:hAnsi="Calibri"/>
          <w:color w:val="525866"/>
          <w:sz w:val="22"/>
        </w:rPr>
        <w:t xml:space="preserve"> Live sports content (UFC, WWE) commands premium pricing from streaming platforms — supports TKO’s media rights leverage.</w:t>
      </w:r>
    </w:p>
    <w:p>
      <w:pPr>
        <w:pStyle w:val="ListBullet"/>
        <w:ind w:left="360" w:hanging="360"/>
      </w:pPr>
      <w:r>
        <w:rPr>
          <w:rFonts w:ascii="Calibri" w:hAnsi="Calibri"/>
          <w:b/>
          <w:color w:val="525866"/>
          <w:sz w:val="22"/>
        </w:rPr>
        <w:t>Live content budget growing:</w:t>
      </w:r>
      <w:r>
        <w:rPr>
          <w:rFonts w:ascii="Calibri" w:hAnsi="Calibri"/>
          <w:color w:val="525866"/>
          <w:sz w:val="22"/>
        </w:rPr>
        <w:t xml:space="preserve"> Netflix is “ramping up our live event slate” including the MLB Home Run Derby and regional events. </w:t>
      </w:r>
      <w:r>
        <w:rPr>
          <w:rFonts w:ascii="Calibri" w:hAnsi="Calibri"/>
          <w:b/>
          <w:color w:val="525866"/>
          <w:sz w:val="22"/>
        </w:rPr>
        <w:t>Read-through:</w:t>
      </w:r>
      <w:r>
        <w:rPr>
          <w:rFonts w:ascii="Calibri" w:hAnsi="Calibri"/>
          <w:color w:val="525866"/>
          <w:sz w:val="22"/>
        </w:rPr>
        <w:t xml:space="preserve"> Netflix’s increasing appetite for live sports content increases the competitive bidding environment for future UFC/WWE rights renewals.</w:t>
      </w:r>
    </w:p>
    <w:p>
      <w:pPr>
        <w:pStyle w:val="ListBullet"/>
        <w:ind w:left="360" w:hanging="360"/>
      </w:pPr>
      <w:r>
        <w:rPr>
          <w:rFonts w:ascii="Calibri" w:hAnsi="Calibri"/>
          <w:b/>
          <w:color w:val="525866"/>
          <w:sz w:val="22"/>
        </w:rPr>
        <w:t>World Baseball Classic in Japan was “most watched program ever”:</w:t>
      </w:r>
      <w:r>
        <w:rPr>
          <w:rFonts w:ascii="Calibri" w:hAnsi="Calibri"/>
          <w:color w:val="525866"/>
          <w:sz w:val="22"/>
        </w:rPr>
        <w:t xml:space="preserve"> Demonstrates the global power of live sports content on streaming. </w:t>
      </w:r>
      <w:r>
        <w:rPr>
          <w:rFonts w:ascii="Calibri" w:hAnsi="Calibri"/>
          <w:b/>
          <w:color w:val="525866"/>
          <w:sz w:val="22"/>
        </w:rPr>
        <w:t>Read-through:</w:t>
      </w:r>
      <w:r>
        <w:rPr>
          <w:rFonts w:ascii="Calibri" w:hAnsi="Calibri"/>
          <w:color w:val="525866"/>
          <w:sz w:val="22"/>
        </w:rPr>
        <w:t xml:space="preserve"> TKO’s international media rights expansion (China, Australia/NZ, Europe) is supported by the global streaming demand for live sports.</w:t>
      </w:r>
    </w:p>
    <w:p>
      <w:pPr>
        <w:pStyle w:val="Heading3"/>
      </w:pPr>
      <w:r>
        <w:rPr>
          <w:rFonts w:ascii="Calibri" w:hAnsi="Calibri"/>
          <w:b/>
          <w:color w:val="3B4259"/>
          <w:sz w:val="24"/>
        </w:rPr>
        <w:t>E. FOX Corporation (FOX) — Q3 FY2026 Earnings (May 11, 2026)</w:t>
      </w:r>
    </w:p>
    <w:p>
      <w:r>
        <w:rPr>
          <w:rFonts w:ascii="Calibri" w:hAnsi="Calibri"/>
          <w:b/>
          <w:color w:val="525866"/>
          <w:sz w:val="22"/>
        </w:rPr>
        <w:t xml:space="preserve">Relevance: </w:t>
      </w:r>
      <w:r>
        <w:rPr>
          <w:rFonts w:ascii="Calibri" w:hAnsi="Calibri"/>
          <w:color w:val="525866"/>
          <w:sz w:val="22"/>
        </w:rPr>
        <w:t>Read-through for sports advertising demand and the FIFA World Cup.</w:t>
      </w:r>
    </w:p>
    <w:p>
      <w:pPr>
        <w:pStyle w:val="ListBullet"/>
        <w:ind w:left="360" w:hanging="360"/>
      </w:pPr>
      <w:r>
        <w:rPr>
          <w:rFonts w:ascii="Calibri" w:hAnsi="Calibri"/>
          <w:b/>
          <w:color w:val="525866"/>
          <w:sz w:val="22"/>
        </w:rPr>
        <w:t>Sports advertising demand strong:</w:t>
      </w:r>
      <w:r>
        <w:rPr>
          <w:rFonts w:ascii="Calibri" w:hAnsi="Calibri"/>
          <w:color w:val="525866"/>
          <w:sz w:val="22"/>
        </w:rPr>
        <w:t xml:space="preserve"> Excluding Super Bowl impact, advertising revenue would have grown double digits. “Advertising trends remain strong across the entire portfolio, whether that’s sports, news, entertainment, Tubi and also strengthening trends in the local stations.” </w:t>
      </w:r>
      <w:r>
        <w:rPr>
          <w:rFonts w:ascii="Calibri" w:hAnsi="Calibri"/>
          <w:b/>
          <w:color w:val="525866"/>
          <w:sz w:val="22"/>
        </w:rPr>
        <w:t>Read-through:</w:t>
      </w:r>
      <w:r>
        <w:rPr>
          <w:rFonts w:ascii="Calibri" w:hAnsi="Calibri"/>
          <w:color w:val="525866"/>
          <w:sz w:val="22"/>
        </w:rPr>
        <w:t xml:space="preserve"> Sports advertising market is healthy — positive for TKO’s Partnerships &amp; Marketing segment.</w:t>
      </w:r>
    </w:p>
    <w:p>
      <w:pPr>
        <w:pStyle w:val="ListBullet"/>
        <w:ind w:left="360" w:hanging="360"/>
      </w:pPr>
      <w:r>
        <w:rPr>
          <w:rFonts w:ascii="Calibri" w:hAnsi="Calibri"/>
          <w:b/>
          <w:color w:val="525866"/>
          <w:sz w:val="22"/>
        </w:rPr>
        <w:t>World Cup is EBITDA accretive:</w:t>
      </w:r>
      <w:r>
        <w:rPr>
          <w:rFonts w:ascii="Calibri" w:hAnsi="Calibri"/>
          <w:color w:val="525866"/>
          <w:sz w:val="22"/>
        </w:rPr>
        <w:t xml:space="preserve"> FOX confirmed the FIFA World Cup will be EBITDA accretive on an overall company basis. </w:t>
      </w:r>
      <w:r>
        <w:rPr>
          <w:rFonts w:ascii="Calibri" w:hAnsi="Calibri"/>
          <w:b/>
          <w:color w:val="525866"/>
          <w:sz w:val="22"/>
        </w:rPr>
        <w:t>Read-through:</w:t>
      </w:r>
      <w:r>
        <w:rPr>
          <w:rFonts w:ascii="Calibri" w:hAnsi="Calibri"/>
          <w:color w:val="525866"/>
          <w:sz w:val="22"/>
        </w:rPr>
        <w:t xml:space="preserve"> Validates the World Cup as a major revenue and profit event — supports On Location’s Q2 hospitality revenue contribution.</w:t>
      </w:r>
    </w:p>
    <w:p>
      <w:pPr>
        <w:pStyle w:val="ListBullet"/>
        <w:ind w:left="360" w:hanging="360"/>
      </w:pPr>
      <w:r>
        <w:rPr>
          <w:rFonts w:ascii="Calibri" w:hAnsi="Calibri"/>
          <w:b/>
          <w:color w:val="525866"/>
          <w:sz w:val="22"/>
        </w:rPr>
        <w:t>Healthy upfront market:</w:t>
      </w:r>
      <w:r>
        <w:rPr>
          <w:rFonts w:ascii="Calibri" w:hAnsi="Calibri"/>
          <w:color w:val="525866"/>
          <w:sz w:val="22"/>
        </w:rPr>
        <w:t xml:space="preserve"> “All signs point to a healthy upfront for Fox... low options being taken up, no cancellations, and healthy scatter prices.” </w:t>
      </w:r>
      <w:r>
        <w:rPr>
          <w:rFonts w:ascii="Calibri" w:hAnsi="Calibri"/>
          <w:b/>
          <w:color w:val="525866"/>
          <w:sz w:val="22"/>
        </w:rPr>
        <w:t>Read-through:</w:t>
      </w:r>
      <w:r>
        <w:rPr>
          <w:rFonts w:ascii="Calibri" w:hAnsi="Calibri"/>
          <w:color w:val="525866"/>
          <w:sz w:val="22"/>
        </w:rPr>
        <w:t xml:space="preserve"> Advertising market conditions are favorable for TKO’s sponsorship and partnership revenue in H2 2026.</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The most notable signal is the </w:t>
      </w:r>
      <w:r>
        <w:rPr>
          <w:rFonts w:ascii="Calibri" w:hAnsi="Calibri"/>
          <w:b/>
          <w:color w:val="525866"/>
          <w:sz w:val="22"/>
        </w:rPr>
        <w:t>cluster of open-market buys by CEO Ariel Emanuel, President Mark Shapiro, and Director Jonathan Kraft</w:t>
      </w:r>
      <w:r>
        <w:rPr>
          <w:rFonts w:ascii="Calibri" w:hAnsi="Calibri"/>
          <w:color w:val="525866"/>
          <w:sz w:val="22"/>
        </w:rPr>
        <w:t xml:space="preserve"> within days of Q1 earnings at ~$183–$184/share — three senior insiders buying simultaneously is a strong conviction signal. Nick Khan’s ongoing 10b5-1 sales are plan-driven and should not be read as a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Effective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b/>
                <w:sz w:val="22"/>
              </w:rPr>
              <w:t>Ariel Emanuel</w:t>
            </w:r>
          </w:p>
        </w:tc>
        <w:tc>
          <w:tcPr>
            <w:tcW w:type="dxa" w:w="1440"/>
          </w:tcPr>
          <w:p>
            <w:r>
              <w:rPr>
                <w:rFonts w:ascii="Calibri" w:hAnsi="Calibri"/>
                <w:sz w:val="22"/>
              </w:rPr>
              <w:t>CEO, Director</w:t>
            </w:r>
          </w:p>
        </w:tc>
        <w:tc>
          <w:tcPr>
            <w:tcW w:type="dxa" w:w="1440"/>
          </w:tcPr>
          <w:p>
            <w:r>
              <w:rPr>
                <w:rFonts w:ascii="Calibri" w:hAnsi="Calibri"/>
                <w:b/>
                <w:color w:val="30A46C"/>
                <w:sz w:val="22"/>
              </w:rPr>
              <w:t>Open Market Buy</w:t>
            </w:r>
          </w:p>
        </w:tc>
        <w:tc>
          <w:tcPr>
            <w:tcW w:type="dxa" w:w="1440"/>
          </w:tcPr>
          <w:p>
            <w:r>
              <w:rPr>
                <w:rFonts w:ascii="Calibri" w:hAnsi="Calibri"/>
                <w:sz w:val="22"/>
              </w:rPr>
              <w:t>~$1.98M (10,805 shares)</w:t>
            </w:r>
          </w:p>
        </w:tc>
        <w:tc>
          <w:tcPr>
            <w:tcW w:type="dxa" w:w="1440"/>
          </w:tcPr>
          <w:p>
            <w:r>
              <w:rPr>
                <w:rFonts w:ascii="Calibri" w:hAnsi="Calibri"/>
                <w:sz w:val="22"/>
              </w:rPr>
              <w:t>May 13, 2026</w:t>
            </w:r>
          </w:p>
        </w:tc>
        <w:tc>
          <w:tcPr>
            <w:tcW w:type="dxa" w:w="1440"/>
          </w:tcPr>
          <w:p>
            <w:r>
              <w:rPr>
                <w:rFonts w:ascii="Calibri" w:hAnsi="Calibri"/>
                <w:sz w:val="22"/>
              </w:rPr>
              <w:t>Discretionary buy at ~$183/share; notable given CEO buying within days of Q1 earnings</w:t>
            </w:r>
          </w:p>
        </w:tc>
      </w:tr>
      <w:tr>
        <w:tc>
          <w:tcPr>
            <w:tcW w:type="dxa" w:w="1440"/>
          </w:tcPr>
          <w:p>
            <w:r>
              <w:rPr>
                <w:rFonts w:ascii="Calibri" w:hAnsi="Calibri"/>
                <w:b/>
                <w:sz w:val="22"/>
              </w:rPr>
              <w:t>Mark Shapiro</w:t>
            </w:r>
          </w:p>
        </w:tc>
        <w:tc>
          <w:tcPr>
            <w:tcW w:type="dxa" w:w="1440"/>
          </w:tcPr>
          <w:p>
            <w:r>
              <w:rPr>
                <w:rFonts w:ascii="Calibri" w:hAnsi="Calibri"/>
                <w:sz w:val="22"/>
              </w:rPr>
              <w:t>President, Director</w:t>
            </w:r>
          </w:p>
        </w:tc>
        <w:tc>
          <w:tcPr>
            <w:tcW w:type="dxa" w:w="1440"/>
          </w:tcPr>
          <w:p>
            <w:r>
              <w:rPr>
                <w:rFonts w:ascii="Calibri" w:hAnsi="Calibri"/>
                <w:b/>
                <w:color w:val="30A46C"/>
                <w:sz w:val="22"/>
              </w:rPr>
              <w:t>Open Market Buy</w:t>
            </w:r>
          </w:p>
        </w:tc>
        <w:tc>
          <w:tcPr>
            <w:tcW w:type="dxa" w:w="1440"/>
          </w:tcPr>
          <w:p>
            <w:r>
              <w:rPr>
                <w:rFonts w:ascii="Calibri" w:hAnsi="Calibri"/>
                <w:sz w:val="22"/>
              </w:rPr>
              <w:t>~$1.98M (10,807 shares)</w:t>
            </w:r>
          </w:p>
        </w:tc>
        <w:tc>
          <w:tcPr>
            <w:tcW w:type="dxa" w:w="1440"/>
          </w:tcPr>
          <w:p>
            <w:r>
              <w:rPr>
                <w:rFonts w:ascii="Calibri" w:hAnsi="Calibri"/>
                <w:sz w:val="22"/>
              </w:rPr>
              <w:t>May 13, 2026</w:t>
            </w:r>
          </w:p>
        </w:tc>
        <w:tc>
          <w:tcPr>
            <w:tcW w:type="dxa" w:w="1440"/>
          </w:tcPr>
          <w:p>
            <w:r>
              <w:rPr>
                <w:rFonts w:ascii="Calibri" w:hAnsi="Calibri"/>
                <w:sz w:val="22"/>
              </w:rPr>
              <w:t>Discretionary buy; same day as CEO; strong insider conviction signal</w:t>
            </w:r>
          </w:p>
        </w:tc>
      </w:tr>
      <w:tr>
        <w:tc>
          <w:tcPr>
            <w:tcW w:type="dxa" w:w="1440"/>
          </w:tcPr>
          <w:p>
            <w:r>
              <w:rPr>
                <w:rFonts w:ascii="Calibri" w:hAnsi="Calibri"/>
                <w:sz w:val="22"/>
              </w:rPr>
              <w:t>Andrew Schleimer</w:t>
            </w:r>
          </w:p>
        </w:tc>
        <w:tc>
          <w:tcPr>
            <w:tcW w:type="dxa" w:w="1440"/>
          </w:tcPr>
          <w:p>
            <w:r>
              <w:rPr>
                <w:rFonts w:ascii="Calibri" w:hAnsi="Calibri"/>
                <w:sz w:val="22"/>
              </w:rPr>
              <w:t>CFO</w:t>
            </w:r>
          </w:p>
        </w:tc>
        <w:tc>
          <w:tcPr>
            <w:tcW w:type="dxa" w:w="1440"/>
          </w:tcPr>
          <w:p>
            <w:r>
              <w:rPr>
                <w:rFonts w:ascii="Calibri" w:hAnsi="Calibri"/>
                <w:b/>
                <w:color w:val="30A46C"/>
                <w:sz w:val="22"/>
              </w:rPr>
              <w:t>Open Market Buy (10b5-1)</w:t>
            </w:r>
          </w:p>
        </w:tc>
        <w:tc>
          <w:tcPr>
            <w:tcW w:type="dxa" w:w="1440"/>
          </w:tcPr>
          <w:p>
            <w:r>
              <w:rPr>
                <w:rFonts w:ascii="Calibri" w:hAnsi="Calibri"/>
                <w:sz w:val="22"/>
              </w:rPr>
              <w:t>~$0.49M (2,696 shares)</w:t>
            </w:r>
          </w:p>
        </w:tc>
        <w:tc>
          <w:tcPr>
            <w:tcW w:type="dxa" w:w="1440"/>
          </w:tcPr>
          <w:p>
            <w:r>
              <w:rPr>
                <w:rFonts w:ascii="Calibri" w:hAnsi="Calibri"/>
                <w:sz w:val="22"/>
              </w:rPr>
              <w:t>May 13, 2026</w:t>
            </w:r>
          </w:p>
        </w:tc>
        <w:tc>
          <w:tcPr>
            <w:tcW w:type="dxa" w:w="1440"/>
          </w:tcPr>
          <w:p>
            <w:r>
              <w:rPr>
                <w:rFonts w:ascii="Calibri" w:hAnsi="Calibri"/>
                <w:sz w:val="22"/>
              </w:rPr>
              <w:t>10b5-1 plan buy; CFO buying under plan — still a positive signal</w:t>
            </w:r>
          </w:p>
        </w:tc>
      </w:tr>
      <w:tr>
        <w:tc>
          <w:tcPr>
            <w:tcW w:type="dxa" w:w="1440"/>
          </w:tcPr>
          <w:p>
            <w:r>
              <w:rPr>
                <w:rFonts w:ascii="Calibri" w:hAnsi="Calibri"/>
                <w:sz w:val="22"/>
              </w:rPr>
              <w:t>Jonathan Kraft</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~$0.95M (5,200 shares)</w:t>
            </w:r>
          </w:p>
        </w:tc>
        <w:tc>
          <w:tcPr>
            <w:tcW w:type="dxa" w:w="1440"/>
          </w:tcPr>
          <w:p>
            <w:r>
              <w:rPr>
                <w:rFonts w:ascii="Calibri" w:hAnsi="Calibri"/>
                <w:sz w:val="22"/>
              </w:rPr>
              <w:t>May 14, 2026</w:t>
            </w:r>
          </w:p>
        </w:tc>
        <w:tc>
          <w:tcPr>
            <w:tcW w:type="dxa" w:w="1440"/>
          </w:tcPr>
          <w:p>
            <w:r>
              <w:rPr>
                <w:rFonts w:ascii="Calibri" w:hAnsi="Calibri"/>
                <w:sz w:val="22"/>
              </w:rPr>
              <w:t>Bought via KPC US Equity LLC; director conviction buy</w:t>
            </w:r>
          </w:p>
        </w:tc>
      </w:tr>
      <w:tr>
        <w:tc>
          <w:tcPr>
            <w:tcW w:type="dxa" w:w="1440"/>
          </w:tcPr>
          <w:p>
            <w:r>
              <w:rPr>
                <w:rFonts w:ascii="Calibri" w:hAnsi="Calibri"/>
                <w:sz w:val="22"/>
              </w:rPr>
              <w:t>Nick Khan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~$1.75M (9,518 shares)</w:t>
            </w:r>
          </w:p>
        </w:tc>
        <w:tc>
          <w:tcPr>
            <w:tcW w:type="dxa" w:w="1440"/>
          </w:tcPr>
          <w:p>
            <w:r>
              <w:rPr>
                <w:rFonts w:ascii="Calibri" w:hAnsi="Calibri"/>
                <w:sz w:val="22"/>
              </w:rPr>
              <w:t>May 4, 2026</w:t>
            </w:r>
          </w:p>
        </w:tc>
        <w:tc>
          <w:tcPr>
            <w:tcW w:type="dxa" w:w="1440"/>
          </w:tcPr>
          <w:p>
            <w:r>
              <w:rPr>
                <w:rFonts w:ascii="Calibri" w:hAnsi="Calibri"/>
                <w:sz w:val="22"/>
              </w:rPr>
              <w:t>Pre-established 10b5-1 plan (adopted March 2026); not a negative signal</w:t>
            </w:r>
          </w:p>
        </w:tc>
      </w:tr>
      <w:tr>
        <w:tc>
          <w:tcPr>
            <w:tcW w:type="dxa" w:w="1440"/>
          </w:tcPr>
          <w:p>
            <w:r>
              <w:rPr>
                <w:rFonts w:ascii="Calibri" w:hAnsi="Calibri"/>
                <w:sz w:val="22"/>
              </w:rPr>
              <w:t>Nick Khan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~$1.75M (9,589 shares)</w:t>
            </w:r>
          </w:p>
        </w:tc>
        <w:tc>
          <w:tcPr>
            <w:tcW w:type="dxa" w:w="1440"/>
          </w:tcPr>
          <w:p>
            <w:r>
              <w:rPr>
                <w:rFonts w:ascii="Calibri" w:hAnsi="Calibri"/>
                <w:sz w:val="22"/>
              </w:rPr>
              <w:t>June 12, 2026</w:t>
            </w:r>
          </w:p>
        </w:tc>
        <w:tc>
          <w:tcPr>
            <w:tcW w:type="dxa" w:w="1440"/>
          </w:tcPr>
          <w:p>
            <w:r>
              <w:rPr>
                <w:rFonts w:ascii="Calibri" w:hAnsi="Calibri"/>
                <w:sz w:val="22"/>
              </w:rPr>
              <w:t>Ongoing 10b5-1 plan sales; plan-driven</w:t>
            </w:r>
          </w:p>
        </w:tc>
      </w:tr>
      <w:tr>
        <w:tc>
          <w:tcPr>
            <w:tcW w:type="dxa" w:w="1440"/>
          </w:tcPr>
          <w:p>
            <w:r>
              <w:rPr>
                <w:rFonts w:ascii="Calibri" w:hAnsi="Calibri"/>
                <w:sz w:val="22"/>
              </w:rPr>
              <w:t>Nick Khan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~$1.75M (9,589 shares)</w:t>
            </w:r>
          </w:p>
        </w:tc>
        <w:tc>
          <w:tcPr>
            <w:tcW w:type="dxa" w:w="1440"/>
          </w:tcPr>
          <w:p>
            <w:r>
              <w:rPr>
                <w:rFonts w:ascii="Calibri" w:hAnsi="Calibri"/>
                <w:sz w:val="22"/>
              </w:rPr>
              <w:t>July 13, 2026</w:t>
            </w:r>
          </w:p>
        </w:tc>
        <w:tc>
          <w:tcPr>
            <w:tcW w:type="dxa" w:w="1440"/>
          </w:tcPr>
          <w:p>
            <w:r>
              <w:rPr>
                <w:rFonts w:ascii="Calibri" w:hAnsi="Calibri"/>
                <w:sz w:val="22"/>
              </w:rPr>
              <w:t>Ongoing 10b5-1 plan sales; plan-driven</w:t>
            </w:r>
          </w:p>
        </w:tc>
      </w:tr>
      <w:tr>
        <w:tc>
          <w:tcPr>
            <w:tcW w:type="dxa" w:w="1440"/>
          </w:tcPr>
          <w:p>
            <w:r>
              <w:rPr>
                <w:rFonts w:ascii="Calibri" w:hAnsi="Calibri"/>
                <w:sz w:val="22"/>
              </w:rPr>
              <w:t>Nick Khan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~$2.38M (23,079 shares)</w:t>
            </w:r>
          </w:p>
        </w:tc>
        <w:tc>
          <w:tcPr>
            <w:tcW w:type="dxa" w:w="1440"/>
          </w:tcPr>
          <w:p>
            <w:r>
              <w:rPr>
                <w:rFonts w:ascii="Calibri" w:hAnsi="Calibri"/>
                <w:sz w:val="22"/>
              </w:rPr>
              <w:t>July 20–21, 2026</w:t>
            </w:r>
          </w:p>
        </w:tc>
        <w:tc>
          <w:tcPr>
            <w:tcW w:type="dxa" w:w="1440"/>
          </w:tcPr>
          <w:p>
            <w:r>
              <w:rPr>
                <w:rFonts w:ascii="Calibri" w:hAnsi="Calibri"/>
                <w:sz w:val="22"/>
              </w:rPr>
              <w:t>Ongoing 10b5-1 plan sales; plan-driven</w:t>
            </w:r>
          </w:p>
        </w:tc>
      </w:tr>
      <w:tr>
        <w:tc>
          <w:tcPr>
            <w:tcW w:type="dxa" w:w="1440"/>
          </w:tcPr>
          <w:p>
            <w:r>
              <w:rPr>
                <w:rFonts w:ascii="Calibri" w:hAnsi="Calibri"/>
                <w:sz w:val="22"/>
              </w:rPr>
              <w:t>Multiple Directors (6)</w:t>
            </w:r>
          </w:p>
        </w:tc>
        <w:tc>
          <w:tcPr>
            <w:tcW w:type="dxa" w:w="1440"/>
          </w:tcPr>
          <w:p>
            <w:r>
              <w:rPr>
                <w:rFonts w:ascii="Calibri" w:hAnsi="Calibri"/>
                <w:sz w:val="22"/>
              </w:rPr>
              <w:t>Directors</w:t>
            </w:r>
          </w:p>
        </w:tc>
        <w:tc>
          <w:tcPr>
            <w:tcW w:type="dxa" w:w="1440"/>
          </w:tcPr>
          <w:p>
            <w:r>
              <w:rPr>
                <w:rFonts w:ascii="Calibri" w:hAnsi="Calibri"/>
                <w:sz w:val="22"/>
              </w:rPr>
              <w:t>RSU Vesting / Conversion</w:t>
            </w:r>
          </w:p>
        </w:tc>
        <w:tc>
          <w:tcPr>
            <w:tcW w:type="dxa" w:w="1440"/>
          </w:tcPr>
          <w:p>
            <w:r>
              <w:rPr>
                <w:rFonts w:ascii="Calibri" w:hAnsi="Calibri"/>
                <w:sz w:val="22"/>
              </w:rPr>
              <w:t>~1,237 shares each</w:t>
            </w:r>
          </w:p>
        </w:tc>
        <w:tc>
          <w:tcPr>
            <w:tcW w:type="dxa" w:w="1440"/>
          </w:tcPr>
          <w:p>
            <w:r>
              <w:rPr>
                <w:rFonts w:ascii="Calibri" w:hAnsi="Calibri"/>
                <w:sz w:val="22"/>
              </w:rPr>
              <w:t>June 10, 2026</w:t>
            </w:r>
          </w:p>
        </w:tc>
        <w:tc>
          <w:tcPr>
            <w:tcW w:type="dxa" w:w="1440"/>
          </w:tcPr>
          <w:p>
            <w:r>
              <w:rPr>
                <w:rFonts w:ascii="Calibri" w:hAnsi="Calibri"/>
                <w:sz w:val="22"/>
              </w:rPr>
              <w:t>Routine RSU vesting at annual meeting; not a signal</w:t>
            </w:r>
          </w:p>
        </w:tc>
      </w:tr>
    </w:tbl>
    <w:p>
      <w:r>
        <w:rPr>
          <w:rFonts w:ascii="Calibri" w:hAnsi="Calibri"/>
          <w:i/>
          <w:color w:val="525866"/>
          <w:sz w:val="22"/>
        </w:rPr>
        <w:t>Source: SEC Form 4 filings. The cluster of discretionary open-market buys by the CEO, President, and a Director within days of Q1 earnings (at ~$183–$184/share) is the most meaningful insider signal — three senior insiders buying simultaneously is a strong conviction signal. Nick Khan’s ongoing 10b5-1 sales are plan-driven (plan adopted March 2026) and should not be read as a negative signal; he retains ~48,900 shares (~$8.9M at current prices) after all sales.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