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ow-earnings-predictions--2026-07-31"/>
    <w:p>
      <w:pPr>
        <w:pStyle w:val="Heading1"/>
      </w:pPr>
      <w:r>
        <w:t xml:space="preserve">TROW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~$2.56 vs. cons $2.52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~$1.94B vs. cons $1.92B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Effective fee rate ex-perf (bps)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~38.1 bps vs. cons/implied ~38.4 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opex growth (ex-carried interest)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~+3% to +6% vs. cons ~+4.5% (FY2026 vs $4.6B base)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flow trajectory / durability of stabilization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Q2 net outflow ~-</w:t>
            </w:r>
            <m:oMath>
              <m:r>
                <m:t>6.5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k</m:t>
              </m:r>
              <m:r>
                <m:t>n</m:t>
              </m:r>
              <m:r>
                <m:t>o</m:t>
              </m:r>
              <m:r>
                <m:t>w</m:t>
              </m:r>
              <m:r>
                <m:t>n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</m:oMath>
            <w:r>
              <w:t xml:space="preserve">12B (Q2/2H26)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Fee-rate/mix-shift trajectory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exit rate ~38.0 bps vs. cons ~38.5 bps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AUM (</w:t>
            </w:r>
            <m:oMath>
              <m:r>
                <m:t>1.89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l</m:t>
              </m:r>
              <m:r>
                <m:t>o</m:t>
              </m:r>
              <m:r>
                <m:t>w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−</m:t>
              </m:r>
            </m:oMath>
            <w:r>
              <w:t xml:space="preserve">6.5B) are pre-announced, so the good news is largely banked and the stock has already re-rated +38% off March lows to ~</w:t>
            </w:r>
            <m:oMath>
              <m:r>
                <m:t>119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b</m:t>
              </m:r>
              <m:r>
                <m:t>o</m:t>
              </m:r>
              <m:r>
                <m:t>v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97-107 sell-side target band. Even a modest EPS/revenue beat is offset by continued effective-fee-rate compression (mix shift to lower-fee TDF/ETF/SMA) and weak 1-yr performance; out-period math (higher opex accruals on the rally, softer forward fee capture) implies estimates get trimmed rather than raised. Priced-for-perfection setup skews to sell-the-news and a post-print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2026-07-31T00:05:55Z</dcterms:created>
  <dcterms:modified xsi:type="dcterms:W3CDTF">2026-07-31T00:05:55Z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