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ow-earnings-predictions--2026-07-31"/>
    <w:p>
      <w:pPr>
        <w:pStyle w:val="Heading1"/>
      </w:pPr>
      <w:r>
        <w:t xml:space="preserve">TROW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~$2.58 vs. cons $2.51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~$1.96B vs. cons $1.92B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Effective Fee Rate (ex. performance fees, bps)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~37.9bps vs. cons 38.4bps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 Growth (ex. carried interest)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~3%-6% vs. cons 3%-6%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~23.5%-24.5% vs. cons 23.0%-26.0%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Client Flows / Organic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~-1.5% organic decline vs. cons -1.0% implied (Q3 2026 trajectory)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-2.6% (FADE)</w:t>
            </w:r>
          </w:p>
        </w:tc>
        <w:tc>
          <w:tcPr/>
          <w:p>
            <w:pPr>
              <w:pStyle w:val="Compact"/>
            </w:pPr>
            <w:r>
              <w:t xml:space="preserve">AUM/flows already pre-announced so the EPS/revenue beat is largely priced in after the stock's sharp run to 52-week highs (+~14% YTD); the June AUM print itself already triggered a negative reaction on outflow optics. Even with a clean EPS beat driven by market-appreciation-lifted average AUM, continued effective-fee-rate compression (mix shift to trusts/SMAs/target-date blend) implies analysts will trim out-quarter revenue/EPS estimates, and persistent active-equity mutual fund redemptions keep the organic growth debate unresolved — a 'beat but quality of beat questioned' setup that typically fades over the following days as estimate revisions catch down to the softer fee-rate/flow mix rather than the AUM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2026-07-31T00:05:03Z</dcterms:created>
  <dcterms:modified xsi:type="dcterms:W3CDTF">2026-07-31T00:05:03Z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