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Now let me pull a bit more detail from the Zacks/Yahoo article on things to watch, and check peer comparisons / rating actions for context.# T. Rowe Price Group (TROW) — Q2 2026 Earnings Preview</w:t>
      </w:r>
      <w:r>
        <w:t xml:space="preserve"> </w:t>
      </w:r>
      <w:r>
        <w:rPr>
          <w:b/>
          <w:bCs/>
        </w:rPr>
        <w:t xml:space="preserve">Report date:</w:t>
      </w:r>
      <w:r>
        <w:t xml:space="preserve"> </w:t>
      </w:r>
      <w:r>
        <w:t xml:space="preserve">Friday, July 31, 2026, 7:00 AM ET (release) / 8:00–8:45 AM ET (call)</w:t>
      </w:r>
    </w:p>
    <w:p>
      <w:r>
        <w:pict>
          <v:rect style="width:0;height:1.5pt" o:hralign="center" o:hrstd="t" o:hr="t"/>
        </w:pict>
      </w:r>
    </w:p>
    <w:bookmarkStart w:id="9" w:name="Xccd0cd2a1e9c6ef2f2c7097f8f85f850d452fe8"/>
    <w:p>
      <w:pPr>
        <w:pStyle w:val="Heading2"/>
      </w:pPr>
      <w:r>
        <w:t xml:space="preserve">1. The Setup</w:t>
      </w:r>
    </w:p>
    <w:p>
      <w:pPr>
        <w:pStyle w:val="FirstParagraph"/>
      </w:pPr>
      <w:r>
        <w:t xml:space="preserve">TROW shares have had a strong run into the print, rebounding sharply from a March low in the high-$80s to roughly $119 currently, aided by a broad market rally and a steady drumbeat of positive strategic headlines (ETF momentum, alternatives fundraising, a digital-asset ETF launch). Sell-side sentiment has turned incrementally more constructive: several firms, including Evercore ISI, Keefe Bruyette and Morgan Stanley, have lifted price targets for T. Rowe Price Group into a band around $109 to $121, with Evercore ISI most recently raising its target to $121, though the rating remains "In-Line." Not everyone is on board — J.P. Morgan has reiterated a Sell/Underweight-type rating, and Barclays remains Underweight despite lifting its target to $108, underscoring a real bull/bear debate about whether the fee-rate and flow trends can turn structurally.</w:t>
      </w:r>
    </w:p>
    <w:bookmarkEnd w:id="9"/>
    <w:bookmarkStart w:id="10" w:name="Xf0e7c244795945b1de1c235d5a19ec7429f7c1b"/>
    <w:p>
      <w:pPr>
        <w:pStyle w:val="Heading2"/>
      </w:pPr>
      <w:r>
        <w:t xml:space="preserve">2. Consensus Expectations</w:t>
      </w:r>
    </w:p>
    <w:p>
      <w:pPr>
        <w:pStyle w:val="Compact"/>
        <w:numPr>
          <w:ilvl w:val="0"/>
          <w:numId w:val="1001"/>
        </w:numPr>
      </w:pPr>
      <w:r>
        <w:rPr>
          <w:b/>
          <w:bCs/>
        </w:rPr>
        <w:t xml:space="preserve">Adjusted EPS:</w:t>
      </w:r>
      <w:r>
        <w:t xml:space="preserve"> </w:t>
      </w:r>
      <w:r>
        <w:t xml:space="preserve">Street consensus is clustered at</w:t>
      </w:r>
      <w:r>
        <w:t xml:space="preserve"> </w:t>
      </w:r>
      <m:oMath>
        <m:r>
          <m:t>2.50</m:t>
        </m:r>
        <m:r>
          <m:rPr>
            <m:sty m:val="p"/>
          </m:rPr>
          <m:t>–</m:t>
        </m:r>
      </m:oMath>
      <w:r>
        <w:rPr>
          <w:b/>
          <w:bCs/>
        </w:rPr>
        <w:t xml:space="preserve">2.52</w:t>
      </w:r>
      <w:r>
        <w:t xml:space="preserve">, which would represent roughly</w:t>
      </w:r>
      <w:r>
        <w:t xml:space="preserve"> </w:t>
      </w:r>
      <w:r>
        <w:rPr>
          <w:b/>
          <w:bCs/>
        </w:rPr>
        <w:t xml:space="preserve">+11.6% to +12.5% YoY</w:t>
      </w:r>
      <w:r>
        <w:t xml:space="preserve"> </w:t>
      </w:r>
      <w:r>
        <w:t xml:space="preserve">growth versus Q2 2025's adjusted EPS of $2.24.</w:t>
      </w:r>
    </w:p>
    <w:p>
      <w:pPr>
        <w:pStyle w:val="Compact"/>
        <w:numPr>
          <w:ilvl w:val="0"/>
          <w:numId w:val="1001"/>
        </w:numPr>
      </w:pPr>
      <w:r>
        <w:rPr>
          <w:b/>
          <w:bCs/>
        </w:rPr>
        <w:t xml:space="preserve">Revenue:</w:t>
      </w:r>
      <w:r>
        <w:t xml:space="preserve"> </w:t>
      </w:r>
      <w:r>
        <w:t xml:space="preserve">Consensus net revenue is around</w:t>
      </w:r>
      <w:r>
        <w:t xml:space="preserve"> </w:t>
      </w:r>
      <w:r>
        <w:rPr>
          <w:b/>
          <w:bCs/>
        </w:rPr>
        <w:t xml:space="preserve">$1.92 billion</w:t>
      </w:r>
      <w:r>
        <w:t xml:space="preserve">, implying an 11.6% rise from the prior-year quarter's actual.</w:t>
      </w:r>
    </w:p>
    <w:p>
      <w:pPr>
        <w:pStyle w:val="Compact"/>
        <w:numPr>
          <w:ilvl w:val="0"/>
          <w:numId w:val="1001"/>
        </w:numPr>
      </w:pPr>
      <w:r>
        <w:t xml:space="preserve">These would mark a sequential improvement from Q1 2026's adjusted EPS of $2.52 (flat) and continue the recovery trend seen in H2 2025, when adjusted EPS reached $2.81 in Q3 2025.</w:t>
      </w:r>
    </w:p>
    <w:bookmarkEnd w:id="10"/>
    <w:bookmarkStart w:id="11" w:name="X7b3b0edb37ba378118ad7b1bd5ec015e9e86b47"/>
    <w:p>
      <w:pPr>
        <w:pStyle w:val="Heading2"/>
      </w:pPr>
      <w:r>
        <w:t xml:space="preserve">3. AUM &amp; Flows — The Central Story</w:t>
      </w:r>
    </w:p>
    <w:p>
      <w:pPr>
        <w:pStyle w:val="FirstParagraph"/>
      </w:pPr>
      <w:r>
        <w:t xml:space="preserve">TROW pre-announces monthly AUM, so the flow/asset picture for Q2 is largely known heading into the print — the earnings call will mainly add color on</w:t>
      </w:r>
      <w:r>
        <w:t xml:space="preserve"> </w:t>
      </w:r>
      <w:r>
        <w:rPr>
          <w:i/>
          <w:iCs/>
        </w:rPr>
        <w:t xml:space="preserve">where</w:t>
      </w:r>
      <w:r>
        <w:t xml:space="preserve"> </w:t>
      </w:r>
      <w:r>
        <w:t xml:space="preserve">the money moved and margin implications.</w:t>
      </w:r>
    </w:p>
    <w:p>
      <w:pPr>
        <w:pStyle w:val="Compact"/>
        <w:numPr>
          <w:ilvl w:val="0"/>
          <w:numId w:val="1002"/>
        </w:numPr>
      </w:pPr>
      <w:r>
        <w:t xml:space="preserve">Quarter-end AUM stood at</w:t>
      </w:r>
      <w:r>
        <w:t xml:space="preserve"> </w:t>
      </w:r>
      <w:r>
        <w:rPr>
          <w:b/>
          <w:bCs/>
        </w:rPr>
        <w:t xml:space="preserve">$1.893 trillion</w:t>
      </w:r>
      <w:r>
        <w:t xml:space="preserve">, up from $1.71 trillion at the end of Q1 — a roughly $180 billion increase driven overwhelmingly by market appreciation rather than net new money.</w:t>
      </w:r>
    </w:p>
    <w:p>
      <w:pPr>
        <w:pStyle w:val="Compact"/>
        <w:numPr>
          <w:ilvl w:val="0"/>
          <w:numId w:val="1002"/>
        </w:numPr>
      </w:pPr>
      <w:r>
        <w:t xml:space="preserve">Flows remained a soft spot: June 2026 saw net inflows of $0.8 billion, despite a quarterly net outflow of $6.5 billion, suggesting challenges in attracting new capital while also reflecting the impact of market volatility on investor confidence. Note that net inflows for June 2026 were $0.8 billion, including a large subadvised equity inflow, and quarterly net flows include $0.5 billion of manager-driven distributions — the underlying organic trend is a bit less rosy than the headline.</w:t>
      </w:r>
    </w:p>
    <w:p>
      <w:pPr>
        <w:pStyle w:val="Compact"/>
        <w:numPr>
          <w:ilvl w:val="0"/>
          <w:numId w:val="1002"/>
        </w:numPr>
      </w:pPr>
      <w:r>
        <w:t xml:space="preserve">The $6.5 billion Q2 outflow is actually a meaningful</w:t>
      </w:r>
      <w:r>
        <w:t xml:space="preserve"> </w:t>
      </w:r>
      <w:r>
        <w:rPr>
          <w:i/>
          <w:iCs/>
        </w:rPr>
        <w:t xml:space="preserve">improvement</w:t>
      </w:r>
      <w:r>
        <w:t xml:space="preserve"> </w:t>
      </w:r>
      <w:r>
        <w:t xml:space="preserve">from Q1 2026's $13.7 billion outflow and Q2 2025's $14.9 billion outflow, suggesting the equity/mutual-fund redemption pressure Rob Sharps flagged last quarter may be moderating.</w:t>
      </w:r>
    </w:p>
    <w:p>
      <w:pPr>
        <w:pStyle w:val="Compact"/>
        <w:numPr>
          <w:ilvl w:val="0"/>
          <w:numId w:val="1002"/>
        </w:numPr>
      </w:pPr>
      <w:r>
        <w:t xml:space="preserve">By asset class as of June 30: Equity $919B, Fixed income $222B, Multi-asset $690B, Alternatives $62B — multi-asset (target-date driven) and alternatives continue to be the structural growth engines, while equity/mutual funds remain the drag.</w:t>
      </w:r>
    </w:p>
    <w:p>
      <w:pPr>
        <w:pStyle w:val="Compact"/>
        <w:numPr>
          <w:ilvl w:val="0"/>
          <w:numId w:val="1002"/>
        </w:numPr>
      </w:pPr>
      <w:r>
        <w:t xml:space="preserve">Market reaction to the June AUM print itself was negative (shares fell as investors focused on the quarterly outflow rather than the flat month-over-month inflow), a reminder that flow optics can move the stock independent of the eventual earnings beat/miss.</w:t>
      </w:r>
    </w:p>
    <w:p>
      <w:pPr>
        <w:pStyle w:val="FirstParagraph"/>
      </w:pPr>
      <w:r>
        <w:rPr>
          <w:b/>
          <w:bCs/>
        </w:rPr>
        <w:t xml:space="preserve">What to watch:</w:t>
      </w:r>
      <w:r>
        <w:t xml:space="preserve"> </w:t>
      </w:r>
      <w:r>
        <w:t xml:space="preserve">Growth vehicles (ETFs, SMAs, target-date "blend" series, interval funds) versus continued mutual-fund redemptions; any update on international flows and institutional pipeline (management said in Q1 that institutional rebalancing remains "a slow-moving train," not a big reallocation wave).</w:t>
      </w:r>
    </w:p>
    <w:bookmarkEnd w:id="11"/>
    <w:bookmarkStart w:id="12" w:name="Xf3d7d5d5b94091194b0651a559751b2a300206a"/>
    <w:p>
      <w:pPr>
        <w:pStyle w:val="Heading2"/>
      </w:pPr>
      <w:r>
        <w:t xml:space="preserve">4. Margin/Fee Rate Dynamics</w:t>
      </w:r>
    </w:p>
    <w:p>
      <w:pPr>
        <w:pStyle w:val="FirstParagraph"/>
      </w:pPr>
      <w:r>
        <w:t xml:space="preserve">The bigger swing factor for the model than headline AUM is the</w:t>
      </w:r>
      <w:r>
        <w:t xml:space="preserve"> </w:t>
      </w:r>
      <w:r>
        <w:rPr>
          <w:b/>
          <w:bCs/>
        </w:rPr>
        <w:t xml:space="preserve">effective fee rate (EFR)</w:t>
      </w:r>
      <w:r>
        <w:t xml:space="preserve">, which has been grinding lower:</w:t>
      </w:r>
    </w:p>
    <w:p>
      <w:pPr>
        <w:pStyle w:val="Compact"/>
        <w:numPr>
          <w:ilvl w:val="0"/>
          <w:numId w:val="1003"/>
        </w:numPr>
      </w:pPr>
      <w:r>
        <w:t xml:space="preserve">Q1 2026 EFR (ex. performance fees) was 38.4 basis points in Q1 2026, decreased from 40.0 basis points earned in Q1 2025 and 38.8 basis points earned in Q4 2025, driven by client flows and transfers... a mix shift in assets under management toward lower fee products and asset classes, partially offset by market appreciation.</w:t>
      </w:r>
    </w:p>
    <w:p>
      <w:pPr>
        <w:pStyle w:val="Compact"/>
        <w:numPr>
          <w:ilvl w:val="0"/>
          <w:numId w:val="1003"/>
        </w:numPr>
      </w:pPr>
      <w:r>
        <w:t xml:space="preserve">Management has been explicit that this is structural: from an investment strategy basis, the effective fee rate decline is driven by the growth of our target date franchise, including the blend series and outflows from our higher fee equity strategies, and on a vehicle basis, the growth of trust and separate accounts, coupled with outflows from the mutual fund vehicle are also compressing effective fee rate.</w:t>
      </w:r>
    </w:p>
    <w:p>
      <w:pPr>
        <w:pStyle w:val="Compact"/>
        <w:numPr>
          <w:ilvl w:val="0"/>
          <w:numId w:val="1003"/>
        </w:numPr>
      </w:pPr>
      <w:r>
        <w:t xml:space="preserve">Investors should watch whether Q2's much higher average AUM (rough math suggests average AUM up mid-single-digits to ~high-single-digits sequentially given the April–June AUM prints) translates into revenue growth in line with, or short of, AUM growth — a further EFR decline would signal the mix shift is outpacing the market tailwind.</w:t>
      </w:r>
    </w:p>
    <w:bookmarkEnd w:id="12"/>
    <w:bookmarkStart w:id="13" w:name="X2a23db0123b7326bec6ad1f2e58044b7a54df78"/>
    <w:p>
      <w:pPr>
        <w:pStyle w:val="Heading2"/>
      </w:pPr>
      <w:r>
        <w:t xml:space="preserve">5. Expenses, Margins &amp; Capital Return</w:t>
      </w:r>
    </w:p>
    <w:p>
      <w:pPr>
        <w:pStyle w:val="Compact"/>
        <w:numPr>
          <w:ilvl w:val="0"/>
          <w:numId w:val="1004"/>
        </w:numPr>
      </w:pPr>
      <w:r>
        <w:t xml:space="preserve">Management reiterated full-year 2026 guidance for</w:t>
      </w:r>
      <w:r>
        <w:t xml:space="preserve"> </w:t>
      </w:r>
      <w:r>
        <w:rPr>
          <w:b/>
          <w:bCs/>
        </w:rPr>
        <w:t xml:space="preserve">adjusted operating expenses (ex. carried interest) up 3%–6% over 2025's $4.6 billion</w:t>
      </w:r>
      <w:r>
        <w:t xml:space="preserve">, and said on the Q1 call that our expense forecast, which includes our investment in strategic priorities and market-driven expenses, remains comfortably within this range even with the market volatility experienced year-to-date. Confirmation (or narrowing) of this range is a key data point.</w:t>
      </w:r>
    </w:p>
    <w:p>
      <w:pPr>
        <w:pStyle w:val="Compact"/>
        <w:numPr>
          <w:ilvl w:val="0"/>
          <w:numId w:val="1004"/>
        </w:numPr>
      </w:pPr>
      <w:r>
        <w:t xml:space="preserve">The firm guided full-year 2026</w:t>
      </w:r>
      <w:r>
        <w:t xml:space="preserve"> </w:t>
      </w:r>
      <w:r>
        <w:rPr>
          <w:b/>
          <w:bCs/>
        </w:rPr>
        <w:t xml:space="preserve">effective tax rate to 23.0%–26.0%</w:t>
      </w:r>
      <w:r>
        <w:t xml:space="preserve">, versus 23.7% adjusted in Q1.</w:t>
      </w:r>
    </w:p>
    <w:p>
      <w:pPr>
        <w:pStyle w:val="Compact"/>
        <w:numPr>
          <w:ilvl w:val="0"/>
          <w:numId w:val="1004"/>
        </w:numPr>
      </w:pPr>
      <w:r>
        <w:t xml:space="preserve">Headcount has been declining (7,507 associates at Q1 2026 vs. 8,084 a year earlier, a 7.1% reduction) as part of the ongoing expense-management/restructuring program (which included a $10.0 million Q1 charge and a much larger $148.8 million charge in Q4 2025).</w:t>
      </w:r>
    </w:p>
    <w:p>
      <w:pPr>
        <w:pStyle w:val="Compact"/>
        <w:numPr>
          <w:ilvl w:val="0"/>
          <w:numId w:val="1004"/>
        </w:numPr>
      </w:pPr>
      <w:r>
        <w:t xml:space="preserve">Capital return remains robust: TROW raised its dividend for a</w:t>
      </w:r>
      <w:r>
        <w:t xml:space="preserve"> </w:t>
      </w:r>
      <w:r>
        <w:rPr>
          <w:b/>
          <w:bCs/>
        </w:rPr>
        <w:t xml:space="preserve">40th consecutive year</w:t>
      </w:r>
      <w:r>
        <w:t xml:space="preserve"> </w:t>
      </w:r>
      <w:r>
        <w:t xml:space="preserve">to $1.30/share and stepped up buybacks meaningfully in Q1 (over $400 million/4 million shares repurchased through late April), with management signaling comfort deploying more capital given the balance sheet's $4.1+ billion of cash and discretionary investments. Watch for confirmation buybacks continued at an elevated pace through Q2's rally, and any read-through on capital allocation priorities (M&amp;A/consolidation optionality was discussed at length last quarter).</w:t>
      </w:r>
    </w:p>
    <w:bookmarkEnd w:id="13"/>
    <w:bookmarkStart w:id="14" w:name="Xf9d902a0b7f56bf06bff25cc7b1fcc06c7413ac"/>
    <w:p>
      <w:pPr>
        <w:pStyle w:val="Heading2"/>
      </w:pPr>
      <w:r>
        <w:t xml:space="preserve">6. Strategic Threads to Track on the Call</w:t>
      </w:r>
    </w:p>
    <w:p>
      <w:pPr>
        <w:pStyle w:val="Compact"/>
        <w:numPr>
          <w:ilvl w:val="0"/>
          <w:numId w:val="1005"/>
        </w:numPr>
      </w:pPr>
      <w:r>
        <w:rPr>
          <w:b/>
          <w:bCs/>
        </w:rPr>
        <w:t xml:space="preserve">Leadership transition:</w:t>
      </w:r>
      <w:r>
        <w:t xml:space="preserve"> </w:t>
      </w:r>
      <w:r>
        <w:t xml:space="preserve">Effective June 1, T. Rowe Price named</w:t>
      </w:r>
      <w:r>
        <w:t xml:space="preserve"> </w:t>
      </w:r>
      <w:r>
        <w:rPr>
          <w:b/>
          <w:bCs/>
        </w:rPr>
        <w:t xml:space="preserve">Eric Veiel president</w:t>
      </w:r>
      <w:r>
        <w:t xml:space="preserve"> </w:t>
      </w:r>
      <w:r>
        <w:t xml:space="preserve">(retaining CIO/co-head of Global Investments duties alongside Rob Sharps as chair/CEO), with Sébastien Page elevated to co-head of Global Investments/CIO and Wyatt Lee slated to take over Global Multi-Asset on October 1 — Rob Sharps will continue to lead the firm as chair and chief executive officer, setting the overall vision and strategy for T. Rowe Price, while Veiel will help drive strategy at the enterprise level... with an emphasis on adoption of innovative technologies to enhance operational efficiency and effectiveness. This is the first quarterly call under the new structure — expect questions on succession clarity and how responsibilities are dividing.</w:t>
      </w:r>
    </w:p>
    <w:p>
      <w:pPr>
        <w:pStyle w:val="Compact"/>
        <w:numPr>
          <w:ilvl w:val="0"/>
          <w:numId w:val="1005"/>
        </w:numPr>
      </w:pPr>
      <w:r>
        <w:rPr>
          <w:b/>
          <w:bCs/>
        </w:rPr>
        <w:t xml:space="preserve">ETF momentum:</w:t>
      </w:r>
      <w:r>
        <w:t xml:space="preserve"> </w:t>
      </w:r>
      <w:r>
        <w:t xml:space="preserve">ETF AUM surpassed $25 billion in April (from 32 funds, 8 scaled past $1 billion), with $2.8 billion of Q1 net inflows; the firm has since launched</w:t>
      </w:r>
      <w:r>
        <w:t xml:space="preserve"> </w:t>
      </w:r>
      <w:r>
        <w:rPr>
          <w:b/>
          <w:bCs/>
        </w:rPr>
        <w:t xml:space="preserve">TKNZ</w:t>
      </w:r>
      <w:r>
        <w:t xml:space="preserve">, its first actively managed multi-token spot crypto ETF, and reportedly filed for additional digital-asset products — a notable expansion beyond the traditional active-manager playbook. Expect updated ETF AUM/flow figures and commentary on European ETF launch plans.</w:t>
      </w:r>
    </w:p>
    <w:p>
      <w:pPr>
        <w:pStyle w:val="Compact"/>
        <w:numPr>
          <w:ilvl w:val="0"/>
          <w:numId w:val="1005"/>
        </w:numPr>
      </w:pPr>
      <w:r>
        <w:rPr>
          <w:b/>
          <w:bCs/>
        </w:rPr>
        <w:t xml:space="preserve">Alternatives/OHA:</w:t>
      </w:r>
      <w:r>
        <w:t xml:space="preserve"> </w:t>
      </w:r>
      <w:r>
        <w:t xml:space="preserve">OHA (Oak Hill Advisors) reported</w:t>
      </w:r>
      <w:r>
        <w:t xml:space="preserve"> </w:t>
      </w:r>
      <m:oMath>
        <m:r>
          <m:t>112</m:t>
        </m:r>
        <m:r>
          <m:t>b</m:t>
        </m:r>
        <m:r>
          <m:t>i</m:t>
        </m:r>
        <m:r>
          <m:t>l</m:t>
        </m:r>
        <m:r>
          <m:t>l</m:t>
        </m:r>
        <m:r>
          <m:t>i</m:t>
        </m:r>
        <m:r>
          <m:t>o</m:t>
        </m:r>
        <m:r>
          <m:t>n</m:t>
        </m:r>
        <m:r>
          <m:t>i</m:t>
        </m:r>
        <m:r>
          <m:t>n</m:t>
        </m:r>
        <m:r>
          <m:t>A</m:t>
        </m:r>
        <m:r>
          <m:t>U</m:t>
        </m:r>
        <m:r>
          <m:t>M</m:t>
        </m:r>
        <m:r>
          <m:t>a</m:t>
        </m:r>
        <m:r>
          <m:t>s</m:t>
        </m:r>
        <m:r>
          <m:t>o</m:t>
        </m:r>
        <m:r>
          <m:t>f</m:t>
        </m:r>
        <m:r>
          <m:t>M</m:t>
        </m:r>
        <m:r>
          <m:t>a</m:t>
        </m:r>
        <m:r>
          <m:t>r</m:t>
        </m:r>
        <m:r>
          <m:t>c</m:t>
        </m:r>
        <m:r>
          <m:t>h</m:t>
        </m:r>
        <m:r>
          <m:t>31</m:t>
        </m:r>
        <m:r>
          <m:rPr>
            <m:sty m:val="p"/>
          </m:rPr>
          <m:t>,</m:t>
        </m:r>
        <m:r>
          <m:t>u</m:t>
        </m:r>
        <m:r>
          <m:t>p</m:t>
        </m:r>
        <m:r>
          <m:t>f</m:t>
        </m:r>
        <m:r>
          <m:t>r</m:t>
        </m:r>
        <m:r>
          <m:t>o</m:t>
        </m:r>
        <m:r>
          <m:t>m</m:t>
        </m:r>
        <m:r>
          <m:t> </m:t>
        </m:r>
      </m:oMath>
      <w:r>
        <w:t xml:space="preserve">88 billion at year-end 2024, with record fundraising (~$40 billion combined in 2024–2025) and a large $17.7 billion OLEND closing. Watch for updates on OCREDIT/OFLEX wealth-channel products and the Goldman Sachs collaboration (target-date and model-portfolio products expected to launch mid-2026).</w:t>
      </w:r>
    </w:p>
    <w:p>
      <w:pPr>
        <w:pStyle w:val="Compact"/>
        <w:numPr>
          <w:ilvl w:val="0"/>
          <w:numId w:val="1005"/>
        </w:numPr>
      </w:pPr>
      <w:r>
        <w:rPr>
          <w:b/>
          <w:bCs/>
        </w:rPr>
        <w:t xml:space="preserve">Distribution partnerships:</w:t>
      </w:r>
      <w:r>
        <w:t xml:space="preserve"> </w:t>
      </w:r>
      <w:r>
        <w:t xml:space="preserve">Progress on Goldman Sachs collaboration, First Abu Dhabi Bank launch (targeted mid-2026), and the Aspida insurance partnership (&gt;$0.5 billion managed) are all incremental growth vectors management has been building toward.</w:t>
      </w:r>
    </w:p>
    <w:bookmarkEnd w:id="14"/>
    <w:bookmarkStart w:id="15" w:name="Xfab883ae3af7aa12c1733ab4e92280926c794a2"/>
    <w:p>
      <w:pPr>
        <w:pStyle w:val="Heading2"/>
      </w:pPr>
      <w:r>
        <w:t xml:space="preserve">7. Key Risks/Debate Points</w:t>
      </w:r>
    </w:p>
    <w:p>
      <w:pPr>
        <w:pStyle w:val="Compact"/>
        <w:numPr>
          <w:ilvl w:val="0"/>
          <w:numId w:val="1006"/>
        </w:numPr>
      </w:pPr>
      <w:r>
        <w:t xml:space="preserve">Whether the fee-rate mix shift toward lower-cost vehicles (trusts, SMAs, target-date blends) structurally caps revenue upside even as markets rally.</w:t>
      </w:r>
    </w:p>
    <w:p>
      <w:pPr>
        <w:pStyle w:val="Compact"/>
        <w:numPr>
          <w:ilvl w:val="0"/>
          <w:numId w:val="1006"/>
        </w:numPr>
      </w:pPr>
      <w:r>
        <w:t xml:space="preserve">Persistence of active-equity mutual fund outflows — still the largest drag on organic growth.</w:t>
      </w:r>
    </w:p>
    <w:p>
      <w:pPr>
        <w:pStyle w:val="Compact"/>
        <w:numPr>
          <w:ilvl w:val="0"/>
          <w:numId w:val="1006"/>
        </w:numPr>
      </w:pPr>
      <w:r>
        <w:t xml:space="preserve">Credit/alternatives market volatility (AI-disruption concerns in private credit, wider spreads) that OHA's Glenn August addressed on the Q1 call, arguing risks are "idiosyncratic, not systemic," but bears will watch for signs of stress in BDC redemption activity.</w:t>
      </w:r>
    </w:p>
    <w:p>
      <w:pPr>
        <w:pStyle w:val="Compact"/>
        <w:numPr>
          <w:ilvl w:val="0"/>
          <w:numId w:val="1006"/>
        </w:numPr>
      </w:pPr>
      <w:r>
        <w:t xml:space="preserve">Valuation now reflects a lot of good news (stock +~14% YTD, near 52-week highs) after the Q2 rally — a "beat but flows disappoint" scenario is a real risk given how the market reacted negatively to the June AUM release itself.</w:t>
      </w:r>
    </w:p>
    <w:bookmarkEnd w:id="15"/>
    <w:bookmarkStart w:id="16" w:name="bottom-line"/>
    <w:p>
      <w:pPr>
        <w:pStyle w:val="Heading2"/>
      </w:pPr>
      <w:r>
        <w:t xml:space="preserve">Bottom Line</w:t>
      </w:r>
    </w:p>
    <w:p>
      <w:pPr>
        <w:pStyle w:val="FirstParagraph"/>
      </w:pPr>
      <w:r>
        <w:t xml:space="preserve">Q2 2026 should show a solid</w:t>
      </w:r>
      <w:r>
        <w:t xml:space="preserve"> </w:t>
      </w:r>
      <w:r>
        <w:rPr>
          <w:b/>
          <w:bCs/>
        </w:rPr>
        <w:t xml:space="preserve">headline EPS beat/growth story</w:t>
      </w:r>
      <w:r>
        <w:t xml:space="preserve"> </w:t>
      </w:r>
      <w:r>
        <w:t xml:space="preserve">(consensus ~</w:t>
      </w:r>
      <m:oMath>
        <m:r>
          <m:t>2.50</m:t>
        </m:r>
        <m:r>
          <m:rPr>
            <m:sty m:val="p"/>
          </m:rPr>
          <m:t>–</m:t>
        </m:r>
        <m:r>
          <m:t>2.52</m:t>
        </m:r>
        <m:r>
          <m:rPr>
            <m:sty m:val="p"/>
          </m:rPr>
          <m:t>,</m:t>
        </m:r>
        <m:r>
          <m:rPr>
            <m:sty m:val="p"/>
          </m:rPr>
          <m:t>+</m:t>
        </m:r>
        <m:r>
          <m:t>12</m:t>
        </m:r>
      </m:oMath>
      <w:r>
        <w:t xml:space="preserve">1.87–1.89 trillion), continued expense discipline within the guided 3–6% growth range, and an improving (though still negative) net flow picture. The more important debate for the stock — already up sharply into the print — will be the</w:t>
      </w:r>
      <w:r>
        <w:t xml:space="preserve"> </w:t>
      </w:r>
      <w:r>
        <w:rPr>
          <w:b/>
          <w:bCs/>
        </w:rPr>
        <w:t xml:space="preserve">quality of flows and the fee-rate trajectory</w:t>
      </w:r>
      <w:r>
        <w:t xml:space="preserve">: whether growth in ETFs, SMAs, target-date/multi-asset, and alternatives (OHA) is enough to offset ongoing active-equity mutual fund redemptions and the resulting effective-fee-rate compression, and how the new Veiel/Page/Lee leadership structure intends to accelerate that mix shift.</w:t>
      </w:r>
    </w:p>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2026-07-31T00:05:03Z</dcterms:created>
  <dcterms:modified xsi:type="dcterms:W3CDTF">2026-07-31T00:05:03Z</dcterms:modified>
</cp:coreProperties>
</file>

<file path=docProps/custom.xml><?xml version="1.0" encoding="utf-8"?>
<Properties xmlns="http://schemas.openxmlformats.org/officeDocument/2006/custom-properties" xmlns:vt="http://schemas.openxmlformats.org/officeDocument/2006/docPropsVTypes"/>
</file>