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ee38f9b9bf5720ec714c13719772b422957aa6"/>
    <w:p>
      <w:pPr>
        <w:pStyle w:val="Heading1"/>
      </w:pPr>
      <w:r>
        <w:t xml:space="preserve">T. Rowe Price (NASDAQ: TROW) — Q2 2026 Earnings Preview</w:t>
      </w:r>
    </w:p>
    <w:p>
      <w:pPr>
        <w:pStyle w:val="FirstParagraph"/>
      </w:pPr>
      <w:r>
        <w:rPr>
          <w:b/>
          <w:bCs/>
        </w:rPr>
        <w:t xml:space="preserve">Event:</w:t>
      </w:r>
      <w:r>
        <w:t xml:space="preserve"> </w:t>
      </w:r>
      <w:r>
        <w:t xml:space="preserve">Friday, July 31, 2026</w:t>
      </w:r>
      <w:r>
        <w:br/>
      </w:r>
      <w:r>
        <w:rPr>
          <w:b/>
          <w:bCs/>
        </w:rPr>
        <w:t xml:space="preserve">Release:</w:t>
      </w:r>
      <w:r>
        <w:t xml:space="preserve"> </w:t>
      </w:r>
      <w:r>
        <w:t xml:space="preserve">7:00 a.m. ET |</w:t>
      </w:r>
      <w:r>
        <w:t xml:space="preserve"> </w:t>
      </w:r>
      <w:r>
        <w:rPr>
          <w:b/>
          <w:bCs/>
        </w:rPr>
        <w:t xml:space="preserve">Earnings call:</w:t>
      </w:r>
      <w:r>
        <w:t xml:space="preserve"> </w:t>
      </w:r>
      <w:r>
        <w:t xml:space="preserve">8:00–8:45 a.m. ET (</w:t>
      </w:r>
      <w:hyperlink r:id="rId9">
        <w:r>
          <w:rPr>
            <w:rStyle w:val="Hyperlink"/>
          </w:rPr>
          <w:t xml:space="preserve">investors.troweprice.com</w:t>
        </w:r>
      </w:hyperlink>
      <w:r>
        <w:t xml:space="preserve">)</w:t>
      </w:r>
    </w:p>
    <w:bookmarkStart w:id="11" w:name="bottom-line"/>
    <w:p>
      <w:pPr>
        <w:pStyle w:val="Heading2"/>
      </w:pPr>
      <w:r>
        <w:t xml:space="preserve">Bottom line</w:t>
      </w:r>
    </w:p>
    <w:p>
      <w:pPr>
        <w:pStyle w:val="FirstParagraph"/>
      </w:pPr>
      <w:r>
        <w:t xml:space="preserve">T. Rowe Price enters Q2 with a</w:t>
      </w:r>
      <w:r>
        <w:t xml:space="preserve"> </w:t>
      </w:r>
      <w:r>
        <w:rPr>
          <w:b/>
          <w:bCs/>
        </w:rPr>
        <w:t xml:space="preserve">materially better AUM and flow setup than it had in Q1</w:t>
      </w:r>
      <w:r>
        <w:t xml:space="preserve">, but the key debate is unlikely to be the headline asset figure: June-end AUM and quarterly flows have already been disclosed. Instead, investors should focus on whether the company can translate the market-driven AUM rebound into</w:t>
      </w:r>
      <w:r>
        <w:t xml:space="preserve"> </w:t>
      </w:r>
      <w:r>
        <w:rPr>
          <w:b/>
          <w:bCs/>
        </w:rPr>
        <w:t xml:space="preserve">advisory-fee growth and operating leverage</w:t>
      </w:r>
      <w:r>
        <w:t xml:space="preserve"> </w:t>
      </w:r>
      <w:r>
        <w:t xml:space="preserve">without a further meaningful decline in realized fee rate.</w:t>
      </w:r>
    </w:p>
    <w:p>
      <w:pPr>
        <w:pStyle w:val="BodyText"/>
      </w:pPr>
      <w:r>
        <w:t xml:space="preserve">The near-term setup is constructive for reported earnings. Ending AUM rose to</w:t>
      </w:r>
      <w:r>
        <w:t xml:space="preserve"> </w:t>
      </w:r>
      <w:r>
        <w:rPr>
          <w:b/>
          <w:bCs/>
        </w:rPr>
        <w:t xml:space="preserve">$1.893 trillion at June 30</w:t>
      </w:r>
      <w:r>
        <w:t xml:space="preserve">, up from</w:t>
      </w:r>
      <w:r>
        <w:t xml:space="preserve"> </w:t>
      </w:r>
      <m:oMath>
        <m:r>
          <m:t>1.710</m:t>
        </m:r>
        <m:r>
          <m:t>t</m:t>
        </m:r>
        <m:r>
          <m:t>r</m:t>
        </m:r>
        <m:r>
          <m:t>i</m:t>
        </m:r>
        <m:r>
          <m:t>l</m:t>
        </m:r>
        <m:r>
          <m:t>l</m:t>
        </m:r>
        <m:r>
          <m:t>i</m:t>
        </m:r>
        <m:r>
          <m:t>o</m:t>
        </m:r>
        <m:r>
          <m:t>n</m:t>
        </m:r>
        <m:r>
          <m:t>a</m:t>
        </m:r>
        <m:r>
          <m:t>t</m:t>
        </m:r>
        <m:r>
          <m:t>M</m:t>
        </m:r>
        <m:r>
          <m:t>a</m:t>
        </m:r>
        <m:r>
          <m:t>r</m:t>
        </m:r>
        <m:r>
          <m:t>c</m:t>
        </m:r>
        <m:r>
          <m:t>h</m:t>
        </m:r>
        <m:r>
          <m:t>31</m:t>
        </m:r>
        <m:r>
          <m:rPr>
            <m:sty m:val="p"/>
          </m:rPr>
          <m:t>,</m:t>
        </m:r>
        <m:r>
          <m:t>w</m:t>
        </m:r>
        <m:r>
          <m:t>h</m:t>
        </m:r>
        <m:r>
          <m:t>i</m:t>
        </m:r>
        <m:r>
          <m:t>l</m:t>
        </m:r>
        <m:r>
          <m:t>e</m:t>
        </m:r>
        <m:r>
          <m:t>Q</m:t>
        </m:r>
        <m:r>
          <m:t>2</m:t>
        </m:r>
        <m:r>
          <m:t>n</m:t>
        </m:r>
        <m:r>
          <m:t>e</m:t>
        </m:r>
        <m:r>
          <m:t>t</m:t>
        </m:r>
        <m:r>
          <m:t>o</m:t>
        </m:r>
        <m:r>
          <m:t>u</m:t>
        </m:r>
        <m:r>
          <m:t>t</m:t>
        </m:r>
        <m:r>
          <m:t>f</m:t>
        </m:r>
        <m:r>
          <m:t>l</m:t>
        </m:r>
        <m:r>
          <m:t>o</m:t>
        </m:r>
        <m:r>
          <m:t>w</m:t>
        </m:r>
        <m:r>
          <m:t>s</m:t>
        </m:r>
        <m:r>
          <m:t>n</m:t>
        </m:r>
        <m:r>
          <m:t>a</m:t>
        </m:r>
        <m:r>
          <m:t>r</m:t>
        </m:r>
        <m:r>
          <m:t>r</m:t>
        </m:r>
        <m:r>
          <m:t>o</m:t>
        </m:r>
        <m:r>
          <m:t>w</m:t>
        </m:r>
        <m:r>
          <m:t>e</m:t>
        </m:r>
        <m:r>
          <m:t>d</m:t>
        </m:r>
        <m:r>
          <m:t>t</m:t>
        </m:r>
        <m:r>
          <m:t>o</m:t>
        </m:r>
        <m:r>
          <m:rPr>
            <m:sty m:val="p"/>
          </m:rPr>
          <m:t>*</m:t>
        </m:r>
        <m:r>
          <m:rPr>
            <m:sty m:val="p"/>
          </m:rPr>
          <m:t>*</m:t>
        </m:r>
      </m:oMath>
      <w:r>
        <w:t xml:space="preserve">6.5 billion** from $13.7 billion in Q1. The more important qualification is that the improvement was uneven: April had $10.6 billion of outflows, while May’s $3.3 billion inflow included a large defined-contribution target-date mandate and June’s $0.8 billion inflow included a large subadvised equity mandate. (</w:t>
      </w:r>
      <w:hyperlink r:id="rId10">
        <w:r>
          <w:rPr>
            <w:rStyle w:val="Hyperlink"/>
          </w:rPr>
          <w:t xml:space="preserve">investors.troweprice.com</w:t>
        </w:r>
      </w:hyperlink>
      <w:r>
        <w:t xml:space="preserve">)</w:t>
      </w:r>
    </w:p>
    <w:bookmarkEnd w:id="11"/>
    <w:bookmarkStart w:id="12" w:name="X42b462d3202a41d7d84f09fba526d833a1d37cb"/>
    <w:p>
      <w:pPr>
        <w:pStyle w:val="Heading2"/>
      </w:pPr>
      <w:r>
        <w:t xml:space="preserve">What is already known going into the print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2026 pre-disclosed indicator</w:t>
            </w:r>
          </w:p>
        </w:tc>
        <w:tc>
          <w:tcPr/>
          <w:p>
            <w:pPr>
              <w:pStyle w:val="Compact"/>
            </w:pPr>
            <w:r>
              <w:t xml:space="preserve">Investor read-through</w:t>
            </w:r>
          </w:p>
        </w:tc>
      </w:tr>
      <w:tr>
        <w:tc>
          <w:tcPr/>
          <w:p>
            <w:pPr>
              <w:pStyle w:val="Compact"/>
            </w:pPr>
            <w:r>
              <w:t xml:space="preserve">Ending AUM</w:t>
            </w:r>
          </w:p>
        </w:tc>
        <w:tc>
          <w:tcPr/>
          <w:p>
            <w:pPr>
              <w:pStyle w:val="Compact"/>
              <w:jc w:val="right"/>
            </w:pPr>
            <w:r>
              <w:t xml:space="preserve">$1.710T</w:t>
            </w:r>
          </w:p>
        </w:tc>
        <w:tc>
          <w:tcPr/>
          <w:p>
            <w:pPr>
              <w:pStyle w:val="Compact"/>
              <w:jc w:val="right"/>
            </w:pPr>
            <w:r>
              <w:t xml:space="preserve">$1.893T</w:t>
            </w:r>
          </w:p>
        </w:tc>
        <w:tc>
          <w:tcPr/>
          <w:p>
            <w:pPr>
              <w:pStyle w:val="Compact"/>
            </w:pPr>
            <w:r>
              <w:t xml:space="preserve">Strong market-driven recovery; Q2 endpoint is up ~11% sequentially</w:t>
            </w:r>
          </w:p>
        </w:tc>
      </w:tr>
      <w:tr>
        <w:tc>
          <w:tcPr/>
          <w:p>
            <w:pPr>
              <w:pStyle w:val="Compact"/>
            </w:pPr>
            <w:r>
              <w:t xml:space="preserve">Net flows</w:t>
            </w:r>
          </w:p>
        </w:tc>
        <w:tc>
          <w:tcPr/>
          <w:p>
            <w:pPr>
              <w:pStyle w:val="Compact"/>
              <w:jc w:val="right"/>
            </w:pPr>
            <w:r>
              <w:t xml:space="preserve">$(13.7)B</w:t>
            </w:r>
          </w:p>
        </w:tc>
        <w:tc>
          <w:tcPr/>
          <w:p>
            <w:pPr>
              <w:pStyle w:val="Compact"/>
              <w:jc w:val="right"/>
            </w:pPr>
            <w:r>
              <w:t xml:space="preserve">$(6.5)B</w:t>
            </w:r>
          </w:p>
        </w:tc>
        <w:tc>
          <w:tcPr/>
          <w:p>
            <w:pPr>
              <w:pStyle w:val="Compact"/>
            </w:pPr>
            <w:r>
              <w:t xml:space="preserve">Better sequentially, but still negative and influenced by large mandates/redemptions</w:t>
            </w:r>
          </w:p>
        </w:tc>
      </w:tr>
      <w:tr>
        <w:tc>
          <w:tcPr/>
          <w:p>
            <w:pPr>
              <w:pStyle w:val="Compact"/>
            </w:pPr>
            <w:r>
              <w:t xml:space="preserve">Equity AUM</w:t>
            </w:r>
          </w:p>
        </w:tc>
        <w:tc>
          <w:tcPr/>
          <w:p>
            <w:pPr>
              <w:pStyle w:val="Compact"/>
              <w:jc w:val="right"/>
            </w:pPr>
            <w:r>
              <w:t xml:space="preserve">$810B</w:t>
            </w:r>
          </w:p>
        </w:tc>
        <w:tc>
          <w:tcPr/>
          <w:p>
            <w:pPr>
              <w:pStyle w:val="Compact"/>
              <w:jc w:val="right"/>
            </w:pPr>
            <w:r>
              <w:t xml:space="preserve">$919B</w:t>
            </w:r>
          </w:p>
        </w:tc>
        <w:tc>
          <w:tcPr/>
          <w:p>
            <w:pPr>
              <w:pStyle w:val="Compact"/>
            </w:pPr>
            <w:r>
              <w:t xml:space="preserve">Largest contributor to AUM rebound</w:t>
            </w:r>
          </w:p>
        </w:tc>
      </w:tr>
      <w:tr>
        <w:tc>
          <w:tcPr/>
          <w:p>
            <w:pPr>
              <w:pStyle w:val="Compact"/>
            </w:pPr>
            <w:r>
              <w:t xml:space="preserve">Multi-asset AUM</w:t>
            </w:r>
          </w:p>
        </w:tc>
        <w:tc>
          <w:tcPr/>
          <w:p>
            <w:pPr>
              <w:pStyle w:val="Compact"/>
              <w:jc w:val="right"/>
            </w:pPr>
            <w:r>
              <w:t xml:space="preserve">$625B</w:t>
            </w:r>
          </w:p>
        </w:tc>
        <w:tc>
          <w:tcPr/>
          <w:p>
            <w:pPr>
              <w:pStyle w:val="Compact"/>
              <w:jc w:val="right"/>
            </w:pPr>
            <w:r>
              <w:t xml:space="preserve">$690B</w:t>
            </w:r>
          </w:p>
        </w:tc>
        <w:tc>
          <w:tcPr/>
          <w:p>
            <w:pPr>
              <w:pStyle w:val="Compact"/>
            </w:pPr>
            <w:r>
              <w:t xml:space="preserve">Target-date assets rose to $622B from $561B</w:t>
            </w:r>
          </w:p>
        </w:tc>
      </w:tr>
      <w:tr>
        <w:tc>
          <w:tcPr/>
          <w:p>
            <w:pPr>
              <w:pStyle w:val="Compact"/>
            </w:pPr>
            <w:r>
              <w:t xml:space="preserve">Fixed-income AUM</w:t>
            </w:r>
          </w:p>
        </w:tc>
        <w:tc>
          <w:tcPr/>
          <w:p>
            <w:pPr>
              <w:pStyle w:val="Compact"/>
              <w:jc w:val="right"/>
            </w:pPr>
            <w:r>
              <w:t xml:space="preserve">$215B</w:t>
            </w:r>
          </w:p>
        </w:tc>
        <w:tc>
          <w:tcPr/>
          <w:p>
            <w:pPr>
              <w:pStyle w:val="Compact"/>
              <w:jc w:val="right"/>
            </w:pPr>
            <w:r>
              <w:t xml:space="preserve">$222B</w:t>
            </w:r>
          </w:p>
        </w:tc>
        <w:tc>
          <w:tcPr/>
          <w:p>
            <w:pPr>
              <w:pStyle w:val="Compact"/>
            </w:pPr>
            <w:r>
              <w:t xml:space="preserve">Modest growth</w:t>
            </w:r>
          </w:p>
        </w:tc>
      </w:tr>
      <w:tr>
        <w:tc>
          <w:tcPr/>
          <w:p>
            <w:pPr>
              <w:pStyle w:val="Compact"/>
            </w:pPr>
            <w:r>
              <w:t xml:space="preserve">Alternatives AUM</w:t>
            </w:r>
          </w:p>
        </w:tc>
        <w:tc>
          <w:tcPr/>
          <w:p>
            <w:pPr>
              <w:pStyle w:val="Compact"/>
              <w:jc w:val="right"/>
            </w:pPr>
            <w:r>
              <w:t xml:space="preserve">$60B</w:t>
            </w:r>
          </w:p>
        </w:tc>
        <w:tc>
          <w:tcPr/>
          <w:p>
            <w:pPr>
              <w:pStyle w:val="Compact"/>
              <w:jc w:val="right"/>
            </w:pPr>
            <w:r>
              <w:t xml:space="preserve">$62B</w:t>
            </w:r>
          </w:p>
        </w:tc>
        <w:tc>
          <w:tcPr/>
          <w:p>
            <w:pPr>
              <w:pStyle w:val="Compact"/>
            </w:pPr>
            <w:r>
              <w:t xml:space="preserve">Continued, though still modest, expansion</w:t>
            </w:r>
          </w:p>
        </w:tc>
      </w:tr>
    </w:tbl>
    <w:p>
      <w:pPr>
        <w:pStyle w:val="BodyText"/>
      </w:pPr>
      <w:r>
        <w:t xml:space="preserve">Source: company-reported month-end AUM data. (</w:t>
      </w:r>
      <w:hyperlink r:id="rId10">
        <w:r>
          <w:rPr>
            <w:rStyle w:val="Hyperlink"/>
          </w:rPr>
          <w:t xml:space="preserve">investors.troweprice.com</w:t>
        </w:r>
      </w:hyperlink>
      <w:r>
        <w:t xml:space="preserve">)</w:t>
      </w:r>
    </w:p>
    <w:p>
      <w:pPr>
        <w:pStyle w:val="BodyText"/>
      </w:pPr>
      <w:r>
        <w:t xml:space="preserve">The AUM math points to roughly</w:t>
      </w:r>
      <w:r>
        <w:t xml:space="preserve"> </w:t>
      </w:r>
      <w:r>
        <w:rPr>
          <w:b/>
          <w:bCs/>
        </w:rPr>
        <w:t xml:space="preserve">$190 billion of positive market appreciation and other effects</w:t>
      </w:r>
      <w:r>
        <w:t xml:space="preserve"> </w:t>
      </w:r>
      <w:r>
        <w:t xml:space="preserve">during the quarter, more than offsetting the $6.5 billion of net outflows. That should create a significantly higher Q2 average-AUM base than the $1.776 trillion reported in Q1 and support sequential advisory-fee growth.</w:t>
      </w:r>
    </w:p>
    <w:bookmarkEnd w:id="12"/>
    <w:bookmarkStart w:id="14" w:name="X8ffbe0753220f3874a87484cad3220b2336587b"/>
    <w:p>
      <w:pPr>
        <w:pStyle w:val="Heading2"/>
      </w:pPr>
      <w:r>
        <w:t xml:space="preserve">The central issue: revenue growth versus fee-rate compression</w:t>
      </w:r>
    </w:p>
    <w:p>
      <w:pPr>
        <w:pStyle w:val="FirstParagraph"/>
      </w:pPr>
      <w:r>
        <w:t xml:space="preserve">In Q1, T. Rowe generated</w:t>
      </w:r>
      <w:r>
        <w:t xml:space="preserve"> </w:t>
      </w:r>
      <w:r>
        <w:rPr>
          <w:b/>
          <w:bCs/>
        </w:rPr>
        <w:t xml:space="preserve">$1.683 billion of investment advisory fees</w:t>
      </w:r>
      <w:r>
        <w:t xml:space="preserve"> </w:t>
      </w:r>
      <w:r>
        <w:t xml:space="preserve">on</w:t>
      </w:r>
      <w:r>
        <w:t xml:space="preserve"> </w:t>
      </w:r>
      <m:oMath>
        <m:r>
          <m:t>1.776</m:t>
        </m:r>
        <m:r>
          <m:t>t</m:t>
        </m:r>
        <m:r>
          <m:t>r</m:t>
        </m:r>
        <m:r>
          <m:t>i</m:t>
        </m:r>
        <m:r>
          <m:t>l</m:t>
        </m:r>
        <m:r>
          <m:t>l</m:t>
        </m:r>
        <m:r>
          <m:t>i</m:t>
        </m:r>
        <m:r>
          <m:t>o</m:t>
        </m:r>
        <m:r>
          <m:t>n</m:t>
        </m:r>
        <m:r>
          <m:t>o</m:t>
        </m:r>
        <m:r>
          <m:t>f</m:t>
        </m:r>
        <m:r>
          <m:t>a</m:t>
        </m:r>
        <m:r>
          <m:t>v</m:t>
        </m:r>
        <m:r>
          <m:t>e</m:t>
        </m:r>
        <m:r>
          <m:t>r</m:t>
        </m:r>
        <m:r>
          <m:t>a</m:t>
        </m:r>
        <m:r>
          <m:t>g</m:t>
        </m:r>
        <m:r>
          <m:t>e</m:t>
        </m:r>
        <m:r>
          <m:t>A</m:t>
        </m:r>
        <m:r>
          <m:t>U</m:t>
        </m:r>
        <m:r>
          <m:t>M</m:t>
        </m:r>
        <m:r>
          <m:rPr>
            <m:sty m:val="p"/>
          </m:rPr>
          <m:t>,</m:t>
        </m:r>
        <m:r>
          <m:t>w</m:t>
        </m:r>
        <m:r>
          <m:t>i</m:t>
        </m:r>
        <m:r>
          <m:t>t</m:t>
        </m:r>
        <m:r>
          <m:t>h</m:t>
        </m:r>
        <m:r>
          <m:t>a</m:t>
        </m:r>
        <m:r>
          <m:t>n</m:t>
        </m:r>
        <m:r>
          <m:t>a</m:t>
        </m:r>
        <m:r>
          <m:t>n</m:t>
        </m:r>
        <m:r>
          <m:t>n</m:t>
        </m:r>
        <m:r>
          <m:t>u</m:t>
        </m:r>
        <m:r>
          <m:t>a</m:t>
        </m:r>
        <m:r>
          <m:t>l</m:t>
        </m:r>
        <m:r>
          <m:t>i</m:t>
        </m:r>
        <m:r>
          <m:t>z</m:t>
        </m:r>
        <m:r>
          <m:t>e</m:t>
        </m:r>
        <m:r>
          <m:t>d</m:t>
        </m:r>
        <m:r>
          <m:t>e</m:t>
        </m:r>
        <m:r>
          <m:t>f</m:t>
        </m:r>
        <m:r>
          <m:t>f</m:t>
        </m:r>
        <m:r>
          <m:t>e</m:t>
        </m:r>
        <m:r>
          <m:t>c</m:t>
        </m:r>
        <m:r>
          <m:t>t</m:t>
        </m:r>
        <m:r>
          <m:t>i</m:t>
        </m:r>
        <m:r>
          <m:t>v</m:t>
        </m:r>
        <m:r>
          <m:t>e</m:t>
        </m:r>
        <m:r>
          <m:t>f</m:t>
        </m:r>
        <m:r>
          <m:t>e</m:t>
        </m:r>
        <m:r>
          <m:t>e</m:t>
        </m:r>
        <m:r>
          <m:t>r</m:t>
        </m:r>
        <m:r>
          <m:t>a</m:t>
        </m:r>
        <m:r>
          <m:t>t</m:t>
        </m:r>
        <m:r>
          <m:t>e</m:t>
        </m:r>
        <m:r>
          <m:t>o</m:t>
        </m:r>
        <m:r>
          <m:t>f</m:t>
        </m:r>
        <m:r>
          <m:rPr>
            <m:sty m:val="p"/>
          </m:rPr>
          <m:t>*</m:t>
        </m:r>
        <m:r>
          <m:rPr>
            <m:sty m:val="p"/>
          </m:rPr>
          <m:t>*</m:t>
        </m:r>
        <m:r>
          <m:t>38.4</m:t>
        </m:r>
        <m:r>
          <m:t>b</m:t>
        </m:r>
        <m:r>
          <m:t>a</m:t>
        </m:r>
        <m:r>
          <m:t>s</m:t>
        </m:r>
        <m:r>
          <m:t>i</m:t>
        </m:r>
        <m:r>
          <m:t>s</m:t>
        </m:r>
        <m:r>
          <m:t>p</m:t>
        </m:r>
        <m:r>
          <m:t>o</m:t>
        </m:r>
        <m:r>
          <m:t>i</m:t>
        </m:r>
        <m:r>
          <m:t>n</m:t>
        </m:r>
        <m:r>
          <m:t>t</m:t>
        </m:r>
        <m:r>
          <m:t>s</m:t>
        </m:r>
        <m:r>
          <m:rPr>
            <m:sty m:val="p"/>
          </m:rPr>
          <m:t>*</m:t>
        </m:r>
        <m:r>
          <m:rPr>
            <m:sty m:val="p"/>
          </m:rPr>
          <m:t>*</m:t>
        </m:r>
        <m:r>
          <m:rPr>
            <m:sty m:val="p"/>
          </m:rPr>
          <m:t>,</m:t>
        </m:r>
        <m:r>
          <m:t>d</m:t>
        </m:r>
        <m:r>
          <m:t>o</m:t>
        </m:r>
        <m:r>
          <m:t>w</m:t>
        </m:r>
        <m:r>
          <m:t>n</m:t>
        </m:r>
        <m:r>
          <m:t>f</m:t>
        </m:r>
        <m:r>
          <m:t>r</m:t>
        </m:r>
        <m:r>
          <m:t>o</m:t>
        </m:r>
        <m:r>
          <m:t>m</m:t>
        </m:r>
        <m:r>
          <m:t>40.0</m:t>
        </m:r>
        <m:r>
          <m:t>b</m:t>
        </m:r>
        <m:r>
          <m:t>p</m:t>
        </m:r>
        <m:r>
          <m:t>s</m:t>
        </m:r>
        <m:r>
          <m:t>a</m:t>
        </m:r>
        <m:r>
          <m:t>y</m:t>
        </m:r>
        <m:r>
          <m:t>e</m:t>
        </m:r>
        <m:r>
          <m:t>a</m:t>
        </m:r>
        <m:r>
          <m:t>r</m:t>
        </m:r>
        <m:r>
          <m:t>e</m:t>
        </m:r>
        <m:r>
          <m:t>a</m:t>
        </m:r>
        <m:r>
          <m:t>r</m:t>
        </m:r>
        <m:r>
          <m:t>l</m:t>
        </m:r>
        <m:r>
          <m:t>i</m:t>
        </m:r>
        <m:r>
          <m:t>e</m:t>
        </m:r>
        <m:r>
          <m:t>r</m:t>
        </m:r>
        <m:r>
          <m:t>a</m:t>
        </m:r>
        <m:r>
          <m:t>n</m:t>
        </m:r>
        <m:r>
          <m:t>d</m:t>
        </m:r>
        <m:r>
          <m:t>38.8</m:t>
        </m:r>
        <m:r>
          <m:t>b</m:t>
        </m:r>
        <m:r>
          <m:t>p</m:t>
        </m:r>
        <m:r>
          <m:t>s</m:t>
        </m:r>
        <m:r>
          <m:t>i</m:t>
        </m:r>
        <m:r>
          <m:t>n</m:t>
        </m:r>
        <m:r>
          <m:t>Q</m:t>
        </m:r>
        <m:r>
          <m:t>4</m:t>
        </m:r>
        <m:r>
          <m:rPr>
            <m:sty m:val="p"/>
          </m:rPr>
          <m:t>.</m:t>
        </m:r>
        <m:r>
          <m:t>A</m:t>
        </m:r>
        <m:r>
          <m:t>d</m:t>
        </m:r>
        <m:r>
          <m:t>j</m:t>
        </m:r>
        <m:r>
          <m:t>u</m:t>
        </m:r>
        <m:r>
          <m:t>s</m:t>
        </m:r>
        <m:r>
          <m:t>t</m:t>
        </m:r>
        <m:r>
          <m:t>e</m:t>
        </m:r>
        <m:r>
          <m:t>d</m:t>
        </m:r>
        <m:r>
          <m:t>E</m:t>
        </m:r>
        <m:r>
          <m:t>P</m:t>
        </m:r>
        <m:r>
          <m:t>S</m:t>
        </m:r>
        <m:r>
          <m:t>w</m:t>
        </m:r>
        <m:r>
          <m:t>a</m:t>
        </m:r>
        <m:r>
          <m:t>s</m:t>
        </m:r>
        <m:r>
          <m:rPr>
            <m:sty m:val="p"/>
          </m:rPr>
          <m:t>*</m:t>
        </m:r>
        <m:r>
          <m:rPr>
            <m:sty m:val="p"/>
          </m:rPr>
          <m:t>*</m:t>
        </m:r>
      </m:oMath>
      <w:r>
        <w:t xml:space="preserve">2.52**. (</w:t>
      </w:r>
      <w:hyperlink r:id="rId13">
        <w:r>
          <w:rPr>
            <w:rStyle w:val="Hyperlink"/>
          </w:rPr>
          <w:t xml:space="preserve">investors.troweprice.com</w:t>
        </w:r>
      </w:hyperlink>
      <w:r>
        <w:t xml:space="preserve">)</w:t>
      </w:r>
    </w:p>
    <w:p>
      <w:pPr>
        <w:pStyle w:val="BodyText"/>
      </w:pPr>
      <w:r>
        <w:t xml:space="preserve">The Q2 average-AUM tailwind should be meaningful. However, the company’s mix shift remains a structural offset:</w:t>
      </w:r>
    </w:p>
    <w:p>
      <w:pPr>
        <w:pStyle w:val="Compact"/>
        <w:numPr>
          <w:ilvl w:val="0"/>
          <w:numId w:val="1001"/>
        </w:numPr>
      </w:pPr>
      <w:r>
        <w:rPr>
          <w:b/>
          <w:bCs/>
        </w:rPr>
        <w:t xml:space="preserve">Equity outflows</w:t>
      </w:r>
      <w:r>
        <w:t xml:space="preserve"> </w:t>
      </w:r>
      <w:r>
        <w:t xml:space="preserve">have disproportionately affected higher-fee active strategies.</w:t>
      </w:r>
    </w:p>
    <w:p>
      <w:pPr>
        <w:pStyle w:val="Compact"/>
        <w:numPr>
          <w:ilvl w:val="0"/>
          <w:numId w:val="1001"/>
        </w:numPr>
      </w:pPr>
      <w:r>
        <w:t xml:space="preserve">Growth is increasingly coming from</w:t>
      </w:r>
      <w:r>
        <w:t xml:space="preserve"> </w:t>
      </w:r>
      <w:r>
        <w:rPr>
          <w:b/>
          <w:bCs/>
        </w:rPr>
        <w:t xml:space="preserve">target-date, collective-investment-trust, ETF, SMA, model-delivery, and institutional/subadvised</w:t>
      </w:r>
      <w:r>
        <w:t xml:space="preserve"> </w:t>
      </w:r>
      <w:r>
        <w:t xml:space="preserve">channels, which can carry lower effective fee rates.</w:t>
      </w:r>
    </w:p>
    <w:p>
      <w:pPr>
        <w:pStyle w:val="Compact"/>
        <w:numPr>
          <w:ilvl w:val="0"/>
          <w:numId w:val="1001"/>
        </w:numPr>
      </w:pPr>
      <w:r>
        <w:t xml:space="preserve">A large portion of Q2’s positive flow activity came from a target-date mandate and a subadvised equity mandate—both favorable for scale and franchise relevance, but not necessarily evidence of higher incremental fee yield. (</w:t>
      </w:r>
      <w:hyperlink r:id="rId10">
        <w:r>
          <w:rPr>
            <w:rStyle w:val="Hyperlink"/>
          </w:rPr>
          <w:t xml:space="preserve">investors.troweprice.com</w:t>
        </w:r>
      </w:hyperlink>
      <w:r>
        <w:t xml:space="preserve">)</w:t>
      </w:r>
    </w:p>
    <w:p>
      <w:pPr>
        <w:pStyle w:val="FirstParagraph"/>
      </w:pPr>
      <w:r>
        <w:rPr>
          <w:b/>
          <w:bCs/>
        </w:rPr>
        <w:t xml:space="preserve">What investors should want to see:</w:t>
      </w:r>
      <w:r>
        <w:t xml:space="preserve"> </w:t>
      </w:r>
      <w:r>
        <w:t xml:space="preserve">advisory-fee revenue growing broadly in line with the higher average-AUM base, with the effective fee rate stabilizing near Q1’s 38.4 bps rather than stepping down again. A sequential decline in fee rate could limit the apparent earnings benefit from the sharp AUM recovery.</w:t>
      </w:r>
    </w:p>
    <w:bookmarkEnd w:id="14"/>
    <w:bookmarkStart w:id="16" w:name="Xbf51a5e0f591696173a5fa2185210cbcde9cbe0"/>
    <w:p>
      <w:pPr>
        <w:pStyle w:val="Heading2"/>
      </w:pPr>
      <w:r>
        <w:t xml:space="preserve">Flows: improving, but not yet a clean “organic-growth” story</w:t>
      </w:r>
    </w:p>
    <w:p>
      <w:pPr>
        <w:pStyle w:val="FirstParagraph"/>
      </w:pPr>
      <w:r>
        <w:t xml:space="preserve">The headline flow trend improved in Q2: quarterly net outflows of $6.5 billion were substantially smaller than the $14.9 billion of outflows reported in Q2 2025 and the $13.7 billion in Q1 2026. (</w:t>
      </w:r>
      <w:hyperlink r:id="rId10">
        <w:r>
          <w:rPr>
            <w:rStyle w:val="Hyperlink"/>
          </w:rPr>
          <w:t xml:space="preserve">investors.troweprice.com</w:t>
        </w:r>
      </w:hyperlink>
      <w:r>
        <w:t xml:space="preserve">)</w:t>
      </w:r>
    </w:p>
    <w:p>
      <w:pPr>
        <w:pStyle w:val="BodyText"/>
      </w:pPr>
      <w:r>
        <w:t xml:space="preserve">Still, the composition deserves scrutiny:</w:t>
      </w:r>
    </w:p>
    <w:p>
      <w:pPr>
        <w:pStyle w:val="Compact"/>
        <w:numPr>
          <w:ilvl w:val="0"/>
          <w:numId w:val="1002"/>
        </w:numPr>
      </w:pPr>
      <w:r>
        <w:rPr>
          <w:b/>
          <w:bCs/>
        </w:rPr>
        <w:t xml:space="preserve">April was weak.</w:t>
      </w:r>
      <w:r>
        <w:t xml:space="preserve"> </w:t>
      </w:r>
      <w:r>
        <w:t xml:space="preserve">T. Rowe reported $10.6 billion of outflows, driven by several large redemptions. (</w:t>
      </w:r>
      <w:hyperlink r:id="rId15">
        <w:r>
          <w:rPr>
            <w:rStyle w:val="Hyperlink"/>
          </w:rPr>
          <w:t xml:space="preserve">investors.troweprice.com</w:t>
        </w:r>
      </w:hyperlink>
      <w:r>
        <w:t xml:space="preserve">)</w:t>
      </w:r>
    </w:p>
    <w:p>
      <w:pPr>
        <w:pStyle w:val="Compact"/>
        <w:numPr>
          <w:ilvl w:val="0"/>
          <w:numId w:val="1002"/>
        </w:numPr>
      </w:pPr>
      <w:r>
        <w:rPr>
          <w:b/>
          <w:bCs/>
        </w:rPr>
        <w:t xml:space="preserve">May and June turned positive</w:t>
      </w:r>
      <w:r>
        <w:t xml:space="preserve">, but each month included a sizable institutional-style transaction: a large defined-contribution target-date inflow in May and a large subadvised equity inflow in June. (</w:t>
      </w:r>
      <w:hyperlink r:id="rId10">
        <w:r>
          <w:rPr>
            <w:rStyle w:val="Hyperlink"/>
          </w:rPr>
          <w:t xml:space="preserve">investors.troweprice.com</w:t>
        </w:r>
      </w:hyperlink>
      <w:r>
        <w:t xml:space="preserve">)</w:t>
      </w:r>
    </w:p>
    <w:p>
      <w:pPr>
        <w:pStyle w:val="Compact"/>
        <w:numPr>
          <w:ilvl w:val="0"/>
          <w:numId w:val="1002"/>
        </w:numPr>
      </w:pPr>
      <w:r>
        <w:rPr>
          <w:b/>
          <w:bCs/>
        </w:rPr>
        <w:t xml:space="preserve">The key question is underlying breadth.</w:t>
      </w:r>
      <w:r>
        <w:t xml:space="preserve"> </w:t>
      </w:r>
      <w:r>
        <w:t xml:space="preserve">Investors should listen for net-flow trends excluding large mandates, especially in U.S. equity mutual funds, retirement, ETFs, SMAs, intermediary channels, and institutional pipelines.</w:t>
      </w:r>
    </w:p>
    <w:p>
      <w:pPr>
        <w:pStyle w:val="FirstParagraph"/>
      </w:pPr>
      <w:r>
        <w:t xml:space="preserve">A constructive result would be management characterizing the Q2 improvement as more than just episodic mandate timing—particularly if it can point to continued traction in ETFs, SMAs, target-date solutions, alternatives, and non-U.S. distribution.</w:t>
      </w:r>
    </w:p>
    <w:bookmarkEnd w:id="16"/>
    <w:bookmarkStart w:id="19" w:name="X220906dca1dfaed4ccf544335ab1ccf2e80be34"/>
    <w:p>
      <w:pPr>
        <w:pStyle w:val="Heading2"/>
      </w:pPr>
      <w:r>
        <w:t xml:space="preserve">Expenses and margins: likely the biggest swing factor after fees</w:t>
      </w:r>
    </w:p>
    <w:p>
      <w:pPr>
        <w:pStyle w:val="FirstParagraph"/>
      </w:pPr>
      <w:r>
        <w:t xml:space="preserve">T. Rowe’s Q1 adjusted operating expenses excluding carried-interest-related compensation were</w:t>
      </w:r>
      <w:r>
        <w:t xml:space="preserve"> </w:t>
      </w:r>
      <w:r>
        <w:rPr>
          <w:b/>
          <w:bCs/>
        </w:rPr>
        <w:t xml:space="preserve">$1.142 billion</w:t>
      </w:r>
      <w:r>
        <w:t xml:space="preserve">, up only 1% year over year. Management retained 2026 guidance for those expenses to rise</w:t>
      </w:r>
      <w:r>
        <w:t xml:space="preserve"> </w:t>
      </w:r>
      <w:r>
        <w:rPr>
          <w:b/>
          <w:bCs/>
        </w:rPr>
        <w:t xml:space="preserve">3%–6%</w:t>
      </w:r>
      <w:r>
        <w:t xml:space="preserve"> </w:t>
      </w:r>
      <w:r>
        <w:t xml:space="preserve">from the 2025 base of approximately</w:t>
      </w:r>
      <w:r>
        <w:t xml:space="preserve"> </w:t>
      </w:r>
      <m:oMath>
        <m:r>
          <m:t>4.6</m:t>
        </m:r>
        <m:r>
          <m:t>b</m:t>
        </m:r>
        <m:r>
          <m:t>i</m:t>
        </m:r>
        <m:r>
          <m:t>l</m:t>
        </m:r>
        <m:r>
          <m:t>l</m:t>
        </m:r>
        <m:r>
          <m:t>i</m:t>
        </m:r>
        <m:r>
          <m:t>o</m:t>
        </m:r>
        <m:r>
          <m:t>n</m:t>
        </m:r>
        <m:r>
          <m:rPr>
            <m:sty m:val="p"/>
          </m:rPr>
          <m:t>—</m:t>
        </m:r>
        <m:r>
          <m:t>a</m:t>
        </m:r>
        <m:r>
          <m:t>n</m:t>
        </m:r>
        <m:r>
          <m:t>i</m:t>
        </m:r>
        <m:r>
          <m:t>m</m:t>
        </m:r>
        <m:r>
          <m:t>p</m:t>
        </m:r>
        <m:r>
          <m:t>l</m:t>
        </m:r>
        <m:r>
          <m:t>i</m:t>
        </m:r>
        <m:r>
          <m:t>e</m:t>
        </m:r>
        <m:r>
          <m:t>d</m:t>
        </m:r>
        <m:r>
          <m:t>r</m:t>
        </m:r>
        <m:r>
          <m:t>a</m:t>
        </m:r>
        <m:r>
          <m:t>n</m:t>
        </m:r>
        <m:r>
          <m:t>g</m:t>
        </m:r>
        <m:r>
          <m:t>e</m:t>
        </m:r>
        <m:r>
          <m:t>o</m:t>
        </m:r>
        <m:r>
          <m:t>f</m:t>
        </m:r>
        <m:r>
          <m:t>r</m:t>
        </m:r>
        <m:r>
          <m:t>o</m:t>
        </m:r>
        <m:r>
          <m:t>u</m:t>
        </m:r>
        <m:r>
          <m:t>g</m:t>
        </m:r>
        <m:r>
          <m:t>h</m:t>
        </m:r>
        <m:r>
          <m:t>l</m:t>
        </m:r>
        <m:r>
          <m:t>y</m:t>
        </m:r>
        <m:r>
          <m:rPr>
            <m:sty m:val="p"/>
          </m:rPr>
          <m:t>*</m:t>
        </m:r>
        <m:r>
          <m:rPr>
            <m:sty m:val="p"/>
          </m:rPr>
          <m:t>*</m:t>
        </m:r>
      </m:oMath>
      <w:r>
        <w:t xml:space="preserve">4.74 billion to $4.88 billion**. (</w:t>
      </w:r>
      <w:hyperlink r:id="rId17">
        <w:r>
          <w:rPr>
            <w:rStyle w:val="Hyperlink"/>
          </w:rPr>
          <w:t xml:space="preserve">investors.troweprice.com</w:t>
        </w:r>
      </w:hyperlink>
      <w:r>
        <w:t xml:space="preserve">)</w:t>
      </w:r>
    </w:p>
    <w:p>
      <w:pPr>
        <w:pStyle w:val="BodyText"/>
      </w:pPr>
      <w:r>
        <w:t xml:space="preserve">The Q1 call made clear that first-quarter expense growth benefited from cost actions and timing, while investments in strategic initiatives were expected to increase through the year. Those initiatives include retirement solutions, ETFs, SMAs, interval funds, advice capabilities, technology, and distribution. (</w:t>
      </w:r>
      <w:hyperlink r:id="rId17">
        <w:r>
          <w:rPr>
            <w:rStyle w:val="Hyperlink"/>
          </w:rPr>
          <w:t xml:space="preserve">investors.troweprice.com</w:t>
        </w:r>
      </w:hyperlink>
      <w:r>
        <w:t xml:space="preserve">)</w:t>
      </w:r>
    </w:p>
    <w:bookmarkStart w:id="18" w:name="margin-checklist"/>
    <w:p>
      <w:pPr>
        <w:pStyle w:val="Heading3"/>
      </w:pPr>
      <w:r>
        <w:t xml:space="preserve">Margin checklist</w:t>
      </w:r>
    </w:p>
    <w:p>
      <w:pPr>
        <w:pStyle w:val="Compact"/>
        <w:numPr>
          <w:ilvl w:val="0"/>
          <w:numId w:val="1003"/>
        </w:numPr>
      </w:pPr>
      <w:r>
        <w:rPr>
          <w:b/>
          <w:bCs/>
        </w:rPr>
        <w:t xml:space="preserve">Bullish:</w:t>
      </w:r>
      <w:r>
        <w:t xml:space="preserve"> </w:t>
      </w:r>
      <w:r>
        <w:t xml:space="preserve">Expense growth stays contained despite higher revenue; management retains or narrows the 3%–6% guide toward the lower half.</w:t>
      </w:r>
    </w:p>
    <w:p>
      <w:pPr>
        <w:pStyle w:val="Compact"/>
        <w:numPr>
          <w:ilvl w:val="0"/>
          <w:numId w:val="1003"/>
        </w:numPr>
      </w:pPr>
      <w:r>
        <w:rPr>
          <w:b/>
          <w:bCs/>
        </w:rPr>
        <w:t xml:space="preserve">Neutral:</w:t>
      </w:r>
      <w:r>
        <w:t xml:space="preserve"> </w:t>
      </w:r>
      <w:r>
        <w:t xml:space="preserve">Higher technology, distribution, and growth-investment spending absorbs most of the AUM-driven revenue gain.</w:t>
      </w:r>
    </w:p>
    <w:p>
      <w:pPr>
        <w:pStyle w:val="Compact"/>
        <w:numPr>
          <w:ilvl w:val="0"/>
          <w:numId w:val="1003"/>
        </w:numPr>
      </w:pPr>
      <w:r>
        <w:rPr>
          <w:b/>
          <w:bCs/>
        </w:rPr>
        <w:t xml:space="preserve">Bearish:</w:t>
      </w:r>
      <w:r>
        <w:t xml:space="preserve"> </w:t>
      </w:r>
      <w:r>
        <w:t xml:space="preserve">Expense guidance moves higher, or management signals that Q1 savings were unusually favorable and cannot be sustained.</w:t>
      </w:r>
    </w:p>
    <w:p>
      <w:pPr>
        <w:pStyle w:val="FirstParagraph"/>
      </w:pPr>
      <w:r>
        <w:t xml:space="preserve">Because the June AUM number is public, a meaningful upside surprise likely requires</w:t>
      </w:r>
      <w:r>
        <w:t xml:space="preserve"> </w:t>
      </w:r>
      <w:r>
        <w:rPr>
          <w:b/>
          <w:bCs/>
        </w:rPr>
        <w:t xml:space="preserve">better fee-rate retention and/or stronger expense discipline</w:t>
      </w:r>
      <w:r>
        <w:t xml:space="preserve"> </w:t>
      </w:r>
      <w:r>
        <w:t xml:space="preserve">than investors expect.</w:t>
      </w:r>
    </w:p>
    <w:bookmarkEnd w:id="18"/>
    <w:bookmarkEnd w:id="19"/>
    <w:bookmarkStart w:id="20" w:name="alternatives-etfs-and-product-strategy"/>
    <w:p>
      <w:pPr>
        <w:pStyle w:val="Heading2"/>
      </w:pPr>
      <w:r>
        <w:t xml:space="preserve">Alternatives, ETFs, and product strategy</w:t>
      </w:r>
    </w:p>
    <w:p>
      <w:pPr>
        <w:pStyle w:val="FirstParagraph"/>
      </w:pPr>
      <w:r>
        <w:t xml:space="preserve">T. Rowe’s strategic case rests on diversifying its growth engine beyond traditional active mutual funds.</w:t>
      </w:r>
    </w:p>
    <w:p>
      <w:pPr>
        <w:pStyle w:val="Compact"/>
        <w:numPr>
          <w:ilvl w:val="0"/>
          <w:numId w:val="1004"/>
        </w:numPr>
      </w:pPr>
      <w:r>
        <w:t xml:space="preserve">At the end of Q1, its ETF lineup had reached 32 products; ETFs generated $2.8 billion of Q1 net flows and had surpassed $25 billion in AUM by late April, according to management. (</w:t>
      </w:r>
      <w:hyperlink r:id="rId17">
        <w:r>
          <w:rPr>
            <w:rStyle w:val="Hyperlink"/>
          </w:rPr>
          <w:t xml:space="preserve">investors.troweprice.com</w:t>
        </w:r>
      </w:hyperlink>
      <w:r>
        <w:t xml:space="preserve">)</w:t>
      </w:r>
    </w:p>
    <w:p>
      <w:pPr>
        <w:pStyle w:val="Compact"/>
        <w:numPr>
          <w:ilvl w:val="0"/>
          <w:numId w:val="1004"/>
        </w:numPr>
      </w:pPr>
      <w:r>
        <w:t xml:space="preserve">The company has continued expanding ETF activity, including the July launch of an actively managed multi-token spot ETF. (</w:t>
      </w:r>
      <w:hyperlink r:id="rId9">
        <w:r>
          <w:rPr>
            <w:rStyle w:val="Hyperlink"/>
          </w:rPr>
          <w:t xml:space="preserve">investors.troweprice.com</w:t>
        </w:r>
      </w:hyperlink>
      <w:r>
        <w:t xml:space="preserve">)</w:t>
      </w:r>
    </w:p>
    <w:p>
      <w:pPr>
        <w:pStyle w:val="Compact"/>
        <w:numPr>
          <w:ilvl w:val="0"/>
          <w:numId w:val="1004"/>
        </w:numPr>
      </w:pPr>
      <w:r>
        <w:t xml:space="preserve">Alternatives AUM rose from $60 billion at March-end to $62 billion at June-end. The larger strategic opportunity remains OHA, private credit, insurance relationships, wealth-channel distribution, and new semi-liquid vehicles. (</w:t>
      </w:r>
      <w:hyperlink r:id="rId10">
        <w:r>
          <w:rPr>
            <w:rStyle w:val="Hyperlink"/>
          </w:rPr>
          <w:t xml:space="preserve">investors.troweprice.com</w:t>
        </w:r>
      </w:hyperlink>
      <w:r>
        <w:t xml:space="preserve">)</w:t>
      </w:r>
    </w:p>
    <w:p>
      <w:pPr>
        <w:pStyle w:val="FirstParagraph"/>
      </w:pPr>
      <w:r>
        <w:t xml:space="preserve">These businesses are strategically valuable even if their near-term fee contribution is smaller than that of the legacy equity franchise. The critical Q2 discussion point is whether growth products are becoming sufficiently large to</w:t>
      </w:r>
      <w:r>
        <w:t xml:space="preserve"> </w:t>
      </w:r>
      <w:r>
        <w:rPr>
          <w:b/>
          <w:bCs/>
        </w:rPr>
        <w:t xml:space="preserve">offset traditional-equity redemptions and fee pressure</w:t>
      </w:r>
      <w:r>
        <w:t xml:space="preserve">, rather than simply moderating them.</w:t>
      </w:r>
    </w:p>
    <w:bookmarkEnd w:id="20"/>
    <w:bookmarkStart w:id="22" w:name="capital-management-remains-a-support"/>
    <w:p>
      <w:pPr>
        <w:pStyle w:val="Heading2"/>
      </w:pPr>
      <w:r>
        <w:t xml:space="preserve">Capital management remains a support</w:t>
      </w:r>
    </w:p>
    <w:p>
      <w:pPr>
        <w:pStyle w:val="FirstParagraph"/>
      </w:pPr>
      <w:r>
        <w:t xml:space="preserve">T. Rowe entered Q2 with a very strong balance sheet. At March 31, it held</w:t>
      </w:r>
      <w:r>
        <w:t xml:space="preserve"> </w:t>
      </w:r>
      <w:r>
        <w:rPr>
          <w:b/>
          <w:bCs/>
        </w:rPr>
        <w:t xml:space="preserve">$4.19 billion of cash and discretionary investments</w:t>
      </w:r>
      <w:r>
        <w:t xml:space="preserve"> </w:t>
      </w:r>
      <w:r>
        <w:t xml:space="preserve">and had returned $629 million to shareholders in Q1 through dividends and repurchases. It repurchased $340 million of stock during the quarter and had increased its quarterly dividend to $1.30 per share. (</w:t>
      </w:r>
      <w:hyperlink r:id="rId21">
        <w:r>
          <w:rPr>
            <w:rStyle w:val="Hyperlink"/>
          </w:rPr>
          <w:t xml:space="preserve">sec.gov</w:t>
        </w:r>
      </w:hyperlink>
      <w:r>
        <w:t xml:space="preserve">)</w:t>
      </w:r>
    </w:p>
    <w:p>
      <w:pPr>
        <w:pStyle w:val="BodyText"/>
      </w:pPr>
      <w:r>
        <w:t xml:space="preserve">Repurchases are particularly relevant because the lower share count helped Q1 adjusted EPS grow faster than operating earnings. Investors should watch for:</w:t>
      </w:r>
    </w:p>
    <w:p>
      <w:pPr>
        <w:pStyle w:val="Compact"/>
        <w:numPr>
          <w:ilvl w:val="0"/>
          <w:numId w:val="1005"/>
        </w:numPr>
      </w:pPr>
      <w:r>
        <w:t xml:space="preserve">Q2 repurchase pace,</w:t>
      </w:r>
    </w:p>
    <w:p>
      <w:pPr>
        <w:pStyle w:val="Compact"/>
        <w:numPr>
          <w:ilvl w:val="0"/>
          <w:numId w:val="1005"/>
        </w:numPr>
      </w:pPr>
      <w:r>
        <w:t xml:space="preserve">any discussion of capital deployment into seed capital, OHA products, partnerships, or M&amp;A, and</w:t>
      </w:r>
    </w:p>
    <w:p>
      <w:pPr>
        <w:pStyle w:val="Compact"/>
        <w:numPr>
          <w:ilvl w:val="0"/>
          <w:numId w:val="1005"/>
        </w:numPr>
      </w:pPr>
      <w:r>
        <w:t xml:space="preserve">management’s view of the stock’s value after TROW appreciated about</w:t>
      </w:r>
      <w:r>
        <w:t xml:space="preserve"> </w:t>
      </w:r>
      <w:r>
        <w:rPr>
          <w:b/>
          <w:bCs/>
        </w:rPr>
        <w:t xml:space="preserve">16% from April 30 through July 30</w:t>
      </w:r>
      <w:r>
        <w:t xml:space="preserve">.</w:t>
      </w:r>
    </w:p>
    <w:bookmarkEnd w:id="22"/>
    <w:bookmarkStart w:id="23" w:name="what-matters-most-on-the-call"/>
    <w:p>
      <w:pPr>
        <w:pStyle w:val="Heading2"/>
      </w:pPr>
      <w:r>
        <w:t xml:space="preserve">What matters most on the call</w:t>
      </w:r>
    </w:p>
    <w:p>
      <w:pPr>
        <w:pStyle w:val="Compact"/>
        <w:numPr>
          <w:ilvl w:val="0"/>
          <w:numId w:val="1006"/>
        </w:numPr>
      </w:pPr>
      <w:r>
        <w:rPr>
          <w:b/>
          <w:bCs/>
        </w:rPr>
        <w:t xml:space="preserve">Fee rate:</w:t>
      </w:r>
      <w:r>
        <w:t xml:space="preserve"> </w:t>
      </w:r>
      <w:r>
        <w:t xml:space="preserve">Did the 38.4 bps Q1 effective fee rate stabilize, or did product and channel mix pressure it lower again?</w:t>
      </w:r>
    </w:p>
    <w:p>
      <w:pPr>
        <w:pStyle w:val="Compact"/>
        <w:numPr>
          <w:ilvl w:val="0"/>
          <w:numId w:val="1006"/>
        </w:numPr>
      </w:pPr>
      <w:r>
        <w:rPr>
          <w:b/>
          <w:bCs/>
        </w:rPr>
        <w:t xml:space="preserve">Flow quality:</w:t>
      </w:r>
      <w:r>
        <w:t xml:space="preserve"> </w:t>
      </w:r>
      <w:r>
        <w:t xml:space="preserve">How much of Q2’s improvement was broad-based versus driven by the disclosed large target-date and subadvised mandates?</w:t>
      </w:r>
    </w:p>
    <w:p>
      <w:pPr>
        <w:pStyle w:val="Compact"/>
        <w:numPr>
          <w:ilvl w:val="0"/>
          <w:numId w:val="1006"/>
        </w:numPr>
      </w:pPr>
      <w:r>
        <w:rPr>
          <w:b/>
          <w:bCs/>
        </w:rPr>
        <w:t xml:space="preserve">Equity franchise:</w:t>
      </w:r>
      <w:r>
        <w:t xml:space="preserve"> </w:t>
      </w:r>
      <w:r>
        <w:t xml:space="preserve">Are U.S. growth-equity redemptions moderating as performance and market breadth improve?</w:t>
      </w:r>
    </w:p>
    <w:p>
      <w:pPr>
        <w:pStyle w:val="Compact"/>
        <w:numPr>
          <w:ilvl w:val="0"/>
          <w:numId w:val="1006"/>
        </w:numPr>
      </w:pPr>
      <w:r>
        <w:rPr>
          <w:b/>
          <w:bCs/>
        </w:rPr>
        <w:t xml:space="preserve">Expense outlook:</w:t>
      </w:r>
      <w:r>
        <w:t xml:space="preserve"> </w:t>
      </w:r>
      <w:r>
        <w:t xml:space="preserve">Does management maintain the 3%–6% 2026 adjusted-expense-growth guide, and where within that band does it now expect to land?</w:t>
      </w:r>
    </w:p>
    <w:p>
      <w:pPr>
        <w:pStyle w:val="Compact"/>
        <w:numPr>
          <w:ilvl w:val="0"/>
          <w:numId w:val="1006"/>
        </w:numPr>
      </w:pPr>
      <w:r>
        <w:rPr>
          <w:b/>
          <w:bCs/>
        </w:rPr>
        <w:t xml:space="preserve">Target-date economics:</w:t>
      </w:r>
      <w:r>
        <w:t xml:space="preserve"> </w:t>
      </w:r>
      <w:r>
        <w:t xml:space="preserve">Can the sizable rise in target-date assets translate into durable, profitable revenue despite lower fee rates?</w:t>
      </w:r>
    </w:p>
    <w:p>
      <w:pPr>
        <w:pStyle w:val="Compact"/>
        <w:numPr>
          <w:ilvl w:val="0"/>
          <w:numId w:val="1006"/>
        </w:numPr>
      </w:pPr>
      <w:r>
        <w:rPr>
          <w:b/>
          <w:bCs/>
        </w:rPr>
        <w:t xml:space="preserve">ETF/SMA/alternatives momentum:</w:t>
      </w:r>
      <w:r>
        <w:t xml:space="preserve"> </w:t>
      </w:r>
      <w:r>
        <w:t xml:space="preserve">Are these businesses scaling rapidly enough to become economically meaningful offsets to legacy mutual-fund pressure?</w:t>
      </w:r>
    </w:p>
    <w:p>
      <w:pPr>
        <w:pStyle w:val="Compact"/>
        <w:numPr>
          <w:ilvl w:val="0"/>
          <w:numId w:val="1006"/>
        </w:numPr>
      </w:pPr>
      <w:r>
        <w:rPr>
          <w:b/>
          <w:bCs/>
        </w:rPr>
        <w:t xml:space="preserve">OHA and private credit:</w:t>
      </w:r>
      <w:r>
        <w:t xml:space="preserve"> </w:t>
      </w:r>
      <w:r>
        <w:t xml:space="preserve">What is the fundraising, deployment, and wealth-channel outlook, particularly amid ongoing scrutiny of private-credit liquidity and credit quality?</w:t>
      </w:r>
    </w:p>
    <w:bookmarkEnd w:id="23"/>
    <w:bookmarkStart w:id="24" w:name="preview-conclusion"/>
    <w:p>
      <w:pPr>
        <w:pStyle w:val="Heading2"/>
      </w:pPr>
      <w:r>
        <w:t xml:space="preserve">Preview conclusion</w:t>
      </w:r>
    </w:p>
    <w:p>
      <w:pPr>
        <w:pStyle w:val="FirstParagraph"/>
      </w:pPr>
      <w:r>
        <w:rPr>
          <w:b/>
          <w:bCs/>
        </w:rPr>
        <w:t xml:space="preserve">The reported Q2 earnings setup is favorable, but the quality of that earnings growth will determine the reaction.</w:t>
      </w:r>
      <w:r>
        <w:t xml:space="preserve"> </w:t>
      </w:r>
      <w:r>
        <w:t xml:space="preserve">AUM is already known to have rebounded sharply to $1.893 trillion, and flows improved materially from Q1. Therefore, the positive surprise case depends on advisory fees converting efficiently from higher average assets, fee-rate compression moderating, and expense discipline holding.</w:t>
      </w:r>
    </w:p>
    <w:p>
      <w:pPr>
        <w:pStyle w:val="BodyText"/>
      </w:pPr>
      <w:r>
        <w:t xml:space="preserve">The bear case is equally clear: strong markets can lift AUM and near-term revenue while masking persistent equity outflows and lower-fee product migration. If the effective fee rate continues to decline and management leans into spending, Q2 could look good on headline EPS without materially changing the medium-term earnings-power debate.</w:t>
      </w:r>
    </w:p>
    <w:p>
      <w:pPr>
        <w:pStyle w:val="BodyText"/>
      </w:pPr>
      <w:r>
        <w:rPr>
          <w:b/>
          <w:bCs/>
        </w:rPr>
        <w:t xml:space="preserve">Investor stance into the print:</w:t>
      </w:r>
      <w:r>
        <w:t xml:space="preserve"> </w:t>
      </w:r>
      <w:r>
        <w:t xml:space="preserve">constructive on the near-term revenue and margin setup; still selective on the durability of organic growth until T. Rowe demonstrates broader, repeatable positive flows and stabilization in realized fee rate.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troweprice.com/?utm_source=openai" TargetMode="External" /><Relationship Type="http://schemas.openxmlformats.org/officeDocument/2006/relationships/hyperlink" Id="rId13" Target="https://investors.troweprice.com/news-releases/news-release-details/t-rowe-price-group-reports-first-quarter-2026-results?utm_source=openai" TargetMode="External" /><Relationship Type="http://schemas.openxmlformats.org/officeDocument/2006/relationships/hyperlink" Id="rId10" Target="https://investors.troweprice.com/news-releases/news-release-details/t-rowe-price-group-reports-month-end-assets-under-management-3?utm_source=openai" TargetMode="External" /><Relationship Type="http://schemas.openxmlformats.org/officeDocument/2006/relationships/hyperlink" Id="rId15" Target="https://investors.troweprice.com/static-files/12719e2b-f40e-4751-a7b1-7a3e5957a9ea?utm_source=openai" TargetMode="External" /><Relationship Type="http://schemas.openxmlformats.org/officeDocument/2006/relationships/hyperlink" Id="rId17" Target="https://investors.troweprice.com/static-files/3ce1b3ea-9061-4520-a769-2f23055e2c60?utm_source=openai" TargetMode="External" /><Relationship Type="http://schemas.openxmlformats.org/officeDocument/2006/relationships/hyperlink" Id="rId21" Target="https://www.sec.gov/Archives/edgar/data/1113169/000162828026028712/trow-2026033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troweprice.com/?utm_source=openai" TargetMode="External" /><Relationship Type="http://schemas.openxmlformats.org/officeDocument/2006/relationships/hyperlink" Id="rId13" Target="https://investors.troweprice.com/news-releases/news-release-details/t-rowe-price-group-reports-first-quarter-2026-results?utm_source=openai" TargetMode="External" /><Relationship Type="http://schemas.openxmlformats.org/officeDocument/2006/relationships/hyperlink" Id="rId10" Target="https://investors.troweprice.com/news-releases/news-release-details/t-rowe-price-group-reports-month-end-assets-under-management-3?utm_source=openai" TargetMode="External" /><Relationship Type="http://schemas.openxmlformats.org/officeDocument/2006/relationships/hyperlink" Id="rId15" Target="https://investors.troweprice.com/static-files/12719e2b-f40e-4751-a7b1-7a3e5957a9ea?utm_source=openai" TargetMode="External" /><Relationship Type="http://schemas.openxmlformats.org/officeDocument/2006/relationships/hyperlink" Id="rId17" Target="https://investors.troweprice.com/static-files/3ce1b3ea-9061-4520-a769-2f23055e2c60?utm_source=openai" TargetMode="External" /><Relationship Type="http://schemas.openxmlformats.org/officeDocument/2006/relationships/hyperlink" Id="rId21" Target="https://www.sec.gov/Archives/edgar/data/1113169/000162828026028712/trow-2026033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2026-07-31T00:04:06Z</dcterms:created>
  <dcterms:modified xsi:type="dcterms:W3CDTF">2026-07-31T00:04:06Z</dcterms:modified>
</cp:coreProperties>
</file>

<file path=docProps/custom.xml><?xml version="1.0" encoding="utf-8"?>
<Properties xmlns="http://schemas.openxmlformats.org/officeDocument/2006/custom-properties" xmlns:vt="http://schemas.openxmlformats.org/officeDocument/2006/docPropsVTypes"/>
</file>