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T. Rowe Price Group (TROW) — Q2 2026 Earnings Preview</w:t>
      </w:r>
    </w:p>
    <w:p>
      <w:r>
        <w:rPr>
          <w:rFonts w:ascii="Calibri" w:hAnsi="Calibri"/>
          <w:b/>
          <w:color w:val="525866"/>
          <w:sz w:val="22"/>
        </w:rPr>
        <w:t xml:space="preserve">Ticker: </w:t>
      </w:r>
      <w:r>
        <w:rPr>
          <w:rFonts w:ascii="Calibri" w:hAnsi="Calibri"/>
          <w:color w:val="525866"/>
          <w:sz w:val="22"/>
        </w:rPr>
        <w:t xml:space="preserve">TROW  </w:t>
      </w:r>
      <w:r>
        <w:rPr>
          <w:rFonts w:ascii="Calibri" w:hAnsi="Calibri"/>
          <w:b/>
          <w:color w:val="525866"/>
          <w:sz w:val="22"/>
        </w:rPr>
        <w:t xml:space="preserve">Upcoming Earnings: </w:t>
      </w:r>
      <w:r>
        <w:rPr>
          <w:rFonts w:ascii="Calibri" w:hAnsi="Calibri"/>
          <w:color w:val="525866"/>
          <w:sz w:val="22"/>
        </w:rPr>
        <w:t xml:space="preserve">July 31, 2026  </w:t>
      </w:r>
      <w:r>
        <w:rPr>
          <w:rFonts w:ascii="Calibri" w:hAnsi="Calibri"/>
          <w:b/>
          <w:color w:val="525866"/>
          <w:sz w:val="22"/>
        </w:rPr>
        <w:t xml:space="preserve">Reporting Period: </w:t>
      </w:r>
      <w:r>
        <w:rPr>
          <w:rFonts w:ascii="Calibri" w:hAnsi="Calibri"/>
          <w:color w:val="525866"/>
          <w:sz w:val="22"/>
        </w:rPr>
        <w:t xml:space="preserve">Q2 2026  </w:t>
      </w:r>
      <w:r>
        <w:rPr>
          <w:rFonts w:ascii="Calibri" w:hAnsi="Calibri"/>
          <w:b/>
          <w:color w:val="525866"/>
          <w:sz w:val="22"/>
        </w:rPr>
        <w:t xml:space="preserve">Prepared: </w:t>
      </w:r>
      <w:r>
        <w:rPr>
          <w:rFonts w:ascii="Calibri" w:hAnsi="Calibri"/>
          <w:color w:val="525866"/>
          <w:sz w:val="22"/>
        </w:rPr>
        <w:t>July 30, 2026</w:t>
      </w:r>
    </w:p>
    <w:p>
      <w:pPr>
        <w:pStyle w:val="Heading2"/>
      </w:pPr>
      <w:r>
        <w:rPr>
          <w:rFonts w:ascii="Calibri" w:hAnsi="Calibri"/>
          <w:b/>
          <w:color w:val="3B4259"/>
          <w:sz w:val="28"/>
        </w:rPr>
        <w:t>Earnings Preview</w:t>
      </w:r>
    </w:p>
    <w:p>
      <w:r>
        <w:rPr>
          <w:rFonts w:ascii="Calibri" w:hAnsi="Calibri"/>
          <w:b/>
          <w:color w:val="525866"/>
          <w:sz w:val="22"/>
        </w:rPr>
        <w:t xml:space="preserve">Key Takeaway: </w:t>
      </w:r>
      <w:r>
        <w:rPr>
          <w:rFonts w:ascii="Calibri" w:hAnsi="Calibri"/>
          <w:color w:val="525866"/>
          <w:sz w:val="22"/>
        </w:rPr>
        <w:t>The setup into Q2 2026 is modestly constructive — AUM is tracking well above consensus on strong markets, but the bar on net flows and fee rate compression remains the key swing factor.</w:t>
      </w:r>
    </w:p>
    <w:p>
      <w:r>
        <w:rPr>
          <w:rFonts w:ascii="Calibri" w:hAnsi="Calibri"/>
          <w:color w:val="525866"/>
          <w:sz w:val="22"/>
        </w:rPr>
        <w:t xml:space="preserve">Heading into Q2 2026, the consensus bar for TROW looks achievable on the top line but the quality of the beat will hinge on </w:t>
      </w:r>
      <w:r>
        <w:rPr>
          <w:rFonts w:ascii="Calibri" w:hAnsi="Calibri"/>
          <w:b/>
          <w:color w:val="525866"/>
          <w:sz w:val="22"/>
        </w:rPr>
        <w:t>net flows and effective fee rate</w:t>
      </w:r>
      <w:r>
        <w:rPr>
          <w:rFonts w:ascii="Calibri" w:hAnsi="Calibri"/>
          <w:color w:val="525866"/>
          <w:sz w:val="22"/>
        </w:rPr>
        <w:t xml:space="preserve"> — the two metrics that determine whether the market views the print as structurally improving or merely market-driven. The preliminary AUM release (July 13) confirmed ending AUM of </w:t>
      </w:r>
      <w:r>
        <w:rPr>
          <w:rFonts w:ascii="Calibri" w:hAnsi="Calibri"/>
          <w:b/>
          <w:color w:val="525866"/>
          <w:sz w:val="22"/>
        </w:rPr>
        <w:t>$1.893 trillion</w:t>
      </w:r>
      <w:r>
        <w:rPr>
          <w:rFonts w:ascii="Calibri" w:hAnsi="Calibri"/>
          <w:color w:val="525866"/>
          <w:sz w:val="22"/>
        </w:rPr>
        <w:t xml:space="preserve">, well above the $1.889 trillion consensus estimate, driven by strong equity market appreciation and a June net inflow of $0.8B (including a large subadvised equity inflow); however, </w:t>
      </w:r>
      <w:r>
        <w:rPr>
          <w:rFonts w:ascii="Calibri" w:hAnsi="Calibri"/>
          <w:b/>
          <w:color w:val="525866"/>
          <w:sz w:val="22"/>
        </w:rPr>
        <w:t>quarterly net outflows of $6.5B</w:t>
      </w:r>
      <w:r>
        <w:rPr>
          <w:rFonts w:ascii="Calibri" w:hAnsi="Calibri"/>
          <w:color w:val="525866"/>
          <w:sz w:val="22"/>
        </w:rPr>
        <w:t xml:space="preserve"> were better than the $8.2B consensus estimate, representing a meaningful sequential improvement from Q1's $13.7B outflow. Management maintained its full-year expense guidance of up 3–6% over 2025's $4.6B adjusted base at the Q1 print, and tone has been constructive — the Q1 call highlighted record ETF AUM surpassing $25B, OHA growing to $112B, and the Goldman Sachs and First Abu Dhabi Bank partnerships moving into execution — but </w:t>
      </w:r>
      <w:r>
        <w:rPr>
          <w:rFonts w:ascii="Calibri" w:hAnsi="Calibri"/>
          <w:b/>
          <w:color w:val="525866"/>
          <w:sz w:val="22"/>
        </w:rPr>
        <w:t>fee rate compression</w:t>
      </w:r>
      <w:r>
        <w:rPr>
          <w:rFonts w:ascii="Calibri" w:hAnsi="Calibri"/>
          <w:color w:val="525866"/>
          <w:sz w:val="22"/>
        </w:rPr>
        <w:t xml:space="preserve"> remains a structural headwind, with the Q1 effective fee rate hitting a new low of 38.4 bps. The stock has rallied ~16% since the Q1 print (vs. ~3% for SPY and ~6% for IAI), suggesting the market has already priced in a solid quarter, leaving limited room for upside surprise unless flows or fee rate come in materially better than expected. The </w:t>
      </w:r>
      <w:r>
        <w:rPr>
          <w:rFonts w:ascii="Calibri" w:hAnsi="Calibri"/>
          <w:b/>
          <w:color w:val="525866"/>
          <w:sz w:val="22"/>
        </w:rPr>
        <w:t>key wildcard</w:t>
      </w:r>
      <w:r>
        <w:rPr>
          <w:rFonts w:ascii="Calibri" w:hAnsi="Calibri"/>
          <w:color w:val="525866"/>
          <w:sz w:val="22"/>
        </w:rPr>
        <w:t xml:space="preserve"> is whether the large subadvised equity inflow in June is a one-time event or signals a broader stabilization in equity flows — if management guides to improving flow trends in Q3, the stock could re-rate further despite the already-elevated multiple.</w:t>
      </w:r>
    </w:p>
    <w:p>
      <w:pPr>
        <w:pStyle w:val="Heading2"/>
      </w:pPr>
      <w:r>
        <w:rPr>
          <w:rFonts w:ascii="Calibri" w:hAnsi="Calibri"/>
          <w:b/>
          <w:color w:val="3B4259"/>
          <w:sz w:val="28"/>
        </w:rPr>
        <w:t>KPIs &amp; Consensus Expectations</w:t>
      </w:r>
    </w:p>
    <w:p>
      <w:r>
        <w:rPr>
          <w:rFonts w:ascii="Calibri" w:hAnsi="Calibri"/>
          <w:b/>
          <w:color w:val="525866"/>
          <w:sz w:val="22"/>
        </w:rPr>
        <w:t xml:space="preserve">Key Takeaway: </w:t>
      </w:r>
      <w:r>
        <w:rPr>
          <w:rFonts w:ascii="Calibri" w:hAnsi="Calibri"/>
          <w:color w:val="525866"/>
          <w:sz w:val="22"/>
        </w:rPr>
        <w:t>Consensus is a manageable bar on AUM (already confirmed at $1.893T vs. $1.889T estimate) but net flows and fee rate are the real swing factors — a flow beat paired with any fee rate stabilization would be the most positive outcome.</w:t>
      </w:r>
    </w:p>
    <w:p>
      <w:pPr>
        <w:pStyle w:val="Heading3"/>
      </w:pPr>
      <w:r>
        <w:rPr>
          <w:rFonts w:ascii="Calibri" w:hAnsi="Calibri"/>
          <w:b/>
          <w:color w:val="3B4259"/>
          <w:sz w:val="24"/>
        </w:rPr>
        <w:t>Table 1 — Q2 2026 Current Quarter Snapshot</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w:t>
            </w:r>
          </w:p>
        </w:tc>
        <w:tc>
          <w:tcPr>
            <w:tcW w:type="dxa" w:w="1234"/>
            <w:shd w:val="clear" w:color="auto" w:fill="3B4259"/>
          </w:tcPr>
          <w:p>
            <w:r>
              <w:rPr>
                <w:rFonts w:ascii="Calibri" w:hAnsi="Calibri"/>
                <w:b/>
                <w:color w:val="FFFFFF"/>
                <w:sz w:val="22"/>
              </w:rPr>
              <w:t>Q2 2026 Consensus Est.</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Guidance</w:t>
            </w:r>
          </w:p>
        </w:tc>
        <w:tc>
          <w:tcPr>
            <w:tcW w:type="dxa" w:w="1234"/>
            <w:shd w:val="clear" w:color="auto" w:fill="3B4259"/>
          </w:tcPr>
          <w:p>
            <w:r>
              <w:rPr>
                <w:rFonts w:ascii="Calibri" w:hAnsi="Calibri"/>
                <w:b/>
                <w:color w:val="FFFFFF"/>
                <w:sz w:val="22"/>
              </w:rPr>
              <w:t>Cons. vs. Guidance</w:t>
            </w:r>
          </w:p>
        </w:tc>
      </w:tr>
      <w:tr>
        <w:tc>
          <w:tcPr>
            <w:tcW w:type="dxa" w:w="1234"/>
          </w:tcPr>
          <w:p>
            <w:r>
              <w:rPr>
                <w:rFonts w:ascii="Calibri" w:hAnsi="Calibri"/>
                <w:sz w:val="22"/>
              </w:rPr>
              <w:t>Total AUM (EOP, $T)</w:t>
            </w:r>
          </w:p>
        </w:tc>
        <w:tc>
          <w:tcPr>
            <w:tcW w:type="dxa" w:w="1234"/>
          </w:tcPr>
          <w:p>
            <w:r>
              <w:rPr>
                <w:rFonts w:ascii="Calibri" w:hAnsi="Calibri"/>
                <w:sz w:val="22"/>
              </w:rPr>
              <w:t>$1.710T</w:t>
            </w:r>
          </w:p>
        </w:tc>
        <w:tc>
          <w:tcPr>
            <w:tcW w:type="dxa" w:w="1234"/>
          </w:tcPr>
          <w:p>
            <w:r>
              <w:rPr>
                <w:rFonts w:ascii="Calibri" w:hAnsi="Calibri"/>
                <w:sz w:val="22"/>
              </w:rPr>
              <w:t>$1.677T</w:t>
            </w:r>
          </w:p>
        </w:tc>
        <w:tc>
          <w:tcPr>
            <w:tcW w:type="dxa" w:w="1234"/>
          </w:tcPr>
          <w:p>
            <w:r>
              <w:rPr>
                <w:rFonts w:ascii="Calibri" w:hAnsi="Calibri"/>
                <w:sz w:val="22"/>
              </w:rPr>
              <w:t>$1.889T</w:t>
            </w:r>
          </w:p>
        </w:tc>
        <w:tc>
          <w:tcPr>
            <w:tcW w:type="dxa" w:w="1234"/>
          </w:tcPr>
          <w:p>
            <w:r>
              <w:rPr>
                <w:rFonts w:ascii="Calibri" w:hAnsi="Calibri"/>
                <w:sz w:val="22"/>
              </w:rPr>
              <w:t>+12.6% YoY</w:t>
            </w:r>
          </w:p>
        </w:tc>
        <w:tc>
          <w:tcPr>
            <w:tcW w:type="dxa" w:w="1234"/>
          </w:tcPr>
          <w:p>
            <w:r>
              <w:rPr>
                <w:rFonts w:ascii="Calibri" w:hAnsi="Calibri"/>
                <w:sz w:val="22"/>
              </w:rPr>
              <w:t>No explicit AUM guidance</w:t>
            </w:r>
          </w:p>
        </w:tc>
        <w:tc>
          <w:tcPr>
            <w:tcW w:type="dxa" w:w="1234"/>
          </w:tcPr>
          <w:p>
            <w:r>
              <w:rPr>
                <w:rFonts w:ascii="Calibri" w:hAnsi="Calibri"/>
                <w:sz w:val="22"/>
              </w:rPr>
              <w:t>N/A</w:t>
            </w:r>
          </w:p>
        </w:tc>
      </w:tr>
      <w:tr>
        <w:tc>
          <w:tcPr>
            <w:tcW w:type="dxa" w:w="1234"/>
          </w:tcPr>
          <w:p>
            <w:r>
              <w:rPr>
                <w:rFonts w:ascii="Calibri" w:hAnsi="Calibri"/>
                <w:sz w:val="22"/>
              </w:rPr>
              <w:t>Net Flows — Total ($B)</w:t>
            </w:r>
          </w:p>
        </w:tc>
        <w:tc>
          <w:tcPr>
            <w:tcW w:type="dxa" w:w="1234"/>
          </w:tcPr>
          <w:p>
            <w:r>
              <w:rPr>
                <w:rFonts w:ascii="Calibri" w:hAnsi="Calibri"/>
                <w:sz w:val="22"/>
              </w:rPr>
              <w:t>-$13.7B</w:t>
            </w:r>
          </w:p>
        </w:tc>
        <w:tc>
          <w:tcPr>
            <w:tcW w:type="dxa" w:w="1234"/>
          </w:tcPr>
          <w:p>
            <w:r>
              <w:rPr>
                <w:rFonts w:ascii="Calibri" w:hAnsi="Calibri"/>
                <w:sz w:val="22"/>
              </w:rPr>
              <w:t>-$14.9B</w:t>
            </w:r>
          </w:p>
        </w:tc>
        <w:tc>
          <w:tcPr>
            <w:tcW w:type="dxa" w:w="1234"/>
          </w:tcPr>
          <w:p>
            <w:r>
              <w:rPr>
                <w:rFonts w:ascii="Calibri" w:hAnsi="Calibri"/>
                <w:sz w:val="22"/>
              </w:rPr>
              <w:t>-$8.2B</w:t>
            </w:r>
          </w:p>
        </w:tc>
        <w:tc>
          <w:tcPr>
            <w:tcW w:type="dxa" w:w="1234"/>
          </w:tcPr>
          <w:p>
            <w:r>
              <w:rPr>
                <w:rFonts w:ascii="Calibri" w:hAnsi="Calibri"/>
                <w:sz w:val="22"/>
              </w:rPr>
              <w:t>Better YoY</w:t>
            </w:r>
          </w:p>
        </w:tc>
        <w:tc>
          <w:tcPr>
            <w:tcW w:type="dxa" w:w="1234"/>
          </w:tcPr>
          <w:p>
            <w:r>
              <w:rPr>
                <w:rFonts w:ascii="Calibri" w:hAnsi="Calibri"/>
                <w:sz w:val="22"/>
              </w:rPr>
              <w:t>No explicit flow guidance</w:t>
            </w:r>
          </w:p>
        </w:tc>
        <w:tc>
          <w:tcPr>
            <w:tcW w:type="dxa" w:w="1234"/>
          </w:tcPr>
          <w:p>
            <w:r>
              <w:rPr>
                <w:rFonts w:ascii="Calibri" w:hAnsi="Calibri"/>
                <w:sz w:val="22"/>
              </w:rPr>
              <w:t>N/A</w:t>
            </w:r>
          </w:p>
        </w:tc>
      </w:tr>
      <w:tr>
        <w:tc>
          <w:tcPr>
            <w:tcW w:type="dxa" w:w="1234"/>
          </w:tcPr>
          <w:p>
            <w:r>
              <w:rPr>
                <w:rFonts w:ascii="Calibri" w:hAnsi="Calibri"/>
                <w:sz w:val="22"/>
              </w:rPr>
              <w:t>Net Revenues — Operating ($B)</w:t>
            </w:r>
          </w:p>
        </w:tc>
        <w:tc>
          <w:tcPr>
            <w:tcW w:type="dxa" w:w="1234"/>
          </w:tcPr>
          <w:p>
            <w:r>
              <w:rPr>
                <w:rFonts w:ascii="Calibri" w:hAnsi="Calibri"/>
                <w:sz w:val="22"/>
              </w:rPr>
              <w:t>$1.861B</w:t>
            </w:r>
          </w:p>
        </w:tc>
        <w:tc>
          <w:tcPr>
            <w:tcW w:type="dxa" w:w="1234"/>
          </w:tcPr>
          <w:p>
            <w:r>
              <w:rPr>
                <w:rFonts w:ascii="Calibri" w:hAnsi="Calibri"/>
                <w:sz w:val="22"/>
              </w:rPr>
              <w:t>$1.762B</w:t>
            </w:r>
          </w:p>
        </w:tc>
        <w:tc>
          <w:tcPr>
            <w:tcW w:type="dxa" w:w="1234"/>
          </w:tcPr>
          <w:p>
            <w:r>
              <w:rPr>
                <w:rFonts w:ascii="Calibri" w:hAnsi="Calibri"/>
                <w:sz w:val="22"/>
              </w:rPr>
              <w:t>$1.930B</w:t>
            </w:r>
          </w:p>
        </w:tc>
        <w:tc>
          <w:tcPr>
            <w:tcW w:type="dxa" w:w="1234"/>
          </w:tcPr>
          <w:p>
            <w:r>
              <w:rPr>
                <w:rFonts w:ascii="Calibri" w:hAnsi="Calibri"/>
                <w:sz w:val="22"/>
              </w:rPr>
              <w:t>+9.6% YoY</w:t>
            </w:r>
          </w:p>
        </w:tc>
        <w:tc>
          <w:tcPr>
            <w:tcW w:type="dxa" w:w="1234"/>
          </w:tcPr>
          <w:p>
            <w:r>
              <w:rPr>
                <w:rFonts w:ascii="Calibri" w:hAnsi="Calibri"/>
                <w:sz w:val="22"/>
              </w:rPr>
              <w:t>No explicit revenue guidance</w:t>
            </w:r>
          </w:p>
        </w:tc>
        <w:tc>
          <w:tcPr>
            <w:tcW w:type="dxa" w:w="1234"/>
          </w:tcPr>
          <w:p>
            <w:r>
              <w:rPr>
                <w:rFonts w:ascii="Calibri" w:hAnsi="Calibri"/>
                <w:sz w:val="22"/>
              </w:rPr>
              <w:t>N/A</w:t>
            </w:r>
          </w:p>
        </w:tc>
      </w:tr>
      <w:tr>
        <w:tc>
          <w:tcPr>
            <w:tcW w:type="dxa" w:w="1234"/>
          </w:tcPr>
          <w:p>
            <w:r>
              <w:rPr>
                <w:rFonts w:ascii="Calibri" w:hAnsi="Calibri"/>
                <w:sz w:val="22"/>
              </w:rPr>
              <w:t>EPS — Diluted Operating ($)</w:t>
            </w:r>
          </w:p>
        </w:tc>
        <w:tc>
          <w:tcPr>
            <w:tcW w:type="dxa" w:w="1234"/>
          </w:tcPr>
          <w:p>
            <w:r>
              <w:rPr>
                <w:rFonts w:ascii="Calibri" w:hAnsi="Calibri"/>
                <w:sz w:val="22"/>
              </w:rPr>
              <w:t>$2.52</w:t>
            </w:r>
          </w:p>
        </w:tc>
        <w:tc>
          <w:tcPr>
            <w:tcW w:type="dxa" w:w="1234"/>
          </w:tcPr>
          <w:p>
            <w:r>
              <w:rPr>
                <w:rFonts w:ascii="Calibri" w:hAnsi="Calibri"/>
                <w:sz w:val="22"/>
              </w:rPr>
              <w:t>$2.24</w:t>
            </w:r>
          </w:p>
        </w:tc>
        <w:tc>
          <w:tcPr>
            <w:tcW w:type="dxa" w:w="1234"/>
          </w:tcPr>
          <w:p>
            <w:r>
              <w:rPr>
                <w:rFonts w:ascii="Calibri" w:hAnsi="Calibri"/>
                <w:sz w:val="22"/>
              </w:rPr>
              <w:t>$2.52</w:t>
            </w:r>
          </w:p>
        </w:tc>
        <w:tc>
          <w:tcPr>
            <w:tcW w:type="dxa" w:w="1234"/>
          </w:tcPr>
          <w:p>
            <w:r>
              <w:rPr>
                <w:rFonts w:ascii="Calibri" w:hAnsi="Calibri"/>
                <w:sz w:val="22"/>
              </w:rPr>
              <w:t>+12.5% YoY</w:t>
            </w:r>
          </w:p>
        </w:tc>
        <w:tc>
          <w:tcPr>
            <w:tcW w:type="dxa" w:w="1234"/>
          </w:tcPr>
          <w:p>
            <w:r>
              <w:rPr>
                <w:rFonts w:ascii="Calibri" w:hAnsi="Calibri"/>
                <w:sz w:val="22"/>
              </w:rPr>
              <w:t>No explicit EPS guidance</w:t>
            </w:r>
          </w:p>
        </w:tc>
        <w:tc>
          <w:tcPr>
            <w:tcW w:type="dxa" w:w="1234"/>
          </w:tcPr>
          <w:p>
            <w:r>
              <w:rPr>
                <w:rFonts w:ascii="Calibri" w:hAnsi="Calibri"/>
                <w:sz w:val="22"/>
              </w:rPr>
              <w:t>N/A</w:t>
            </w:r>
          </w:p>
        </w:tc>
      </w:tr>
      <w:tr>
        <w:tc>
          <w:tcPr>
            <w:tcW w:type="dxa" w:w="1234"/>
          </w:tcPr>
          <w:p>
            <w:r>
              <w:rPr>
                <w:rFonts w:ascii="Calibri" w:hAnsi="Calibri"/>
                <w:sz w:val="22"/>
              </w:rPr>
              <w:t>Operating Margin — Operating (%)</w:t>
            </w:r>
          </w:p>
        </w:tc>
        <w:tc>
          <w:tcPr>
            <w:tcW w:type="dxa" w:w="1234"/>
          </w:tcPr>
          <w:p>
            <w:r>
              <w:rPr>
                <w:rFonts w:ascii="Calibri" w:hAnsi="Calibri"/>
                <w:sz w:val="22"/>
              </w:rPr>
              <w:t>37.9%</w:t>
            </w:r>
          </w:p>
        </w:tc>
        <w:tc>
          <w:tcPr>
            <w:tcW w:type="dxa" w:w="1234"/>
          </w:tcPr>
          <w:p>
            <w:r>
              <w:rPr>
                <w:rFonts w:ascii="Calibri" w:hAnsi="Calibri"/>
                <w:sz w:val="22"/>
              </w:rPr>
              <w:t>34.9%</w:t>
            </w:r>
          </w:p>
        </w:tc>
        <w:tc>
          <w:tcPr>
            <w:tcW w:type="dxa" w:w="1234"/>
          </w:tcPr>
          <w:p>
            <w:r>
              <w:rPr>
                <w:rFonts w:ascii="Calibri" w:hAnsi="Calibri"/>
                <w:sz w:val="22"/>
              </w:rPr>
              <w:t>37.1%</w:t>
            </w:r>
          </w:p>
        </w:tc>
        <w:tc>
          <w:tcPr>
            <w:tcW w:type="dxa" w:w="1234"/>
          </w:tcPr>
          <w:p>
            <w:r>
              <w:rPr>
                <w:rFonts w:ascii="Calibri" w:hAnsi="Calibri"/>
                <w:sz w:val="22"/>
              </w:rPr>
              <w:t>+220 bps YoY</w:t>
            </w:r>
          </w:p>
        </w:tc>
        <w:tc>
          <w:tcPr>
            <w:tcW w:type="dxa" w:w="1234"/>
          </w:tcPr>
          <w:p>
            <w:r>
              <w:rPr>
                <w:rFonts w:ascii="Calibri" w:hAnsi="Calibri"/>
                <w:sz w:val="22"/>
              </w:rPr>
              <w:t>Expenses +3–6% YoY (FY guide)</w:t>
            </w:r>
          </w:p>
        </w:tc>
        <w:tc>
          <w:tcPr>
            <w:tcW w:type="dxa" w:w="1234"/>
          </w:tcPr>
          <w:p>
            <w:r>
              <w:rPr>
                <w:rFonts w:ascii="Calibri" w:hAnsi="Calibri"/>
                <w:sz w:val="22"/>
              </w:rPr>
              <w:t>N/A (margin implied)</w:t>
            </w:r>
          </w:p>
        </w:tc>
      </w:tr>
      <w:tr>
        <w:tc>
          <w:tcPr>
            <w:tcW w:type="dxa" w:w="1234"/>
          </w:tcPr>
          <w:p>
            <w:r>
              <w:rPr>
                <w:rFonts w:ascii="Calibri" w:hAnsi="Calibri"/>
                <w:sz w:val="22"/>
              </w:rPr>
              <w:t>Effective Fee Rate (bps, ex-perf fees)</w:t>
            </w:r>
          </w:p>
        </w:tc>
        <w:tc>
          <w:tcPr>
            <w:tcW w:type="dxa" w:w="1234"/>
          </w:tcPr>
          <w:p>
            <w:r>
              <w:rPr>
                <w:rFonts w:ascii="Calibri" w:hAnsi="Calibri"/>
                <w:sz w:val="22"/>
              </w:rPr>
              <w:t>37.9 bps</w:t>
            </w:r>
          </w:p>
        </w:tc>
        <w:tc>
          <w:tcPr>
            <w:tcW w:type="dxa" w:w="1234"/>
          </w:tcPr>
          <w:p>
            <w:r>
              <w:rPr>
                <w:rFonts w:ascii="Calibri" w:hAnsi="Calibri"/>
                <w:sz w:val="22"/>
              </w:rPr>
              <w:t>39.6 bps</w:t>
            </w:r>
          </w:p>
        </w:tc>
        <w:tc>
          <w:tcPr>
            <w:tcW w:type="dxa" w:w="1234"/>
          </w:tcPr>
          <w:p>
            <w:r>
              <w:rPr>
                <w:rFonts w:ascii="Calibri" w:hAnsi="Calibri"/>
                <w:sz w:val="22"/>
              </w:rPr>
              <w:t>38.2 bps</w:t>
            </w:r>
          </w:p>
        </w:tc>
        <w:tc>
          <w:tcPr>
            <w:tcW w:type="dxa" w:w="1234"/>
          </w:tcPr>
          <w:p>
            <w:r>
              <w:rPr>
                <w:rFonts w:ascii="Calibri" w:hAnsi="Calibri"/>
                <w:sz w:val="22"/>
              </w:rPr>
              <w:t>-140 bps YoY</w:t>
            </w:r>
          </w:p>
        </w:tc>
        <w:tc>
          <w:tcPr>
            <w:tcW w:type="dxa" w:w="1234"/>
          </w:tcPr>
          <w:p>
            <w:r>
              <w:rPr>
                <w:rFonts w:ascii="Calibri" w:hAnsi="Calibri"/>
                <w:sz w:val="22"/>
              </w:rPr>
              <w:t>Continued compression expected</w:t>
            </w:r>
          </w:p>
        </w:tc>
        <w:tc>
          <w:tcPr>
            <w:tcW w:type="dxa" w:w="1234"/>
          </w:tcPr>
          <w:p>
            <w:r>
              <w:rPr>
                <w:rFonts w:ascii="Calibri" w:hAnsi="Calibri"/>
                <w:sz w:val="22"/>
              </w:rPr>
              <w:t>N/A</w:t>
            </w:r>
          </w:p>
        </w:tc>
      </w:tr>
      <w:tr>
        <w:tc>
          <w:tcPr>
            <w:tcW w:type="dxa" w:w="1234"/>
          </w:tcPr>
          <w:p>
            <w:r>
              <w:rPr>
                <w:rFonts w:ascii="Calibri" w:hAnsi="Calibri"/>
                <w:sz w:val="22"/>
              </w:rPr>
              <w:t>Net Flows — Equity ($B)</w:t>
            </w:r>
          </w:p>
        </w:tc>
        <w:tc>
          <w:tcPr>
            <w:tcW w:type="dxa" w:w="1234"/>
          </w:tcPr>
          <w:p>
            <w:r>
              <w:rPr>
                <w:rFonts w:ascii="Calibri" w:hAnsi="Calibri"/>
                <w:sz w:val="22"/>
              </w:rPr>
              <w:t>-$22.6B</w:t>
            </w:r>
          </w:p>
        </w:tc>
        <w:tc>
          <w:tcPr>
            <w:tcW w:type="dxa" w:w="1234"/>
          </w:tcPr>
          <w:p>
            <w:r>
              <w:rPr>
                <w:rFonts w:ascii="Calibri" w:hAnsi="Calibri"/>
                <w:sz w:val="22"/>
              </w:rPr>
              <w:t>-$18.1B</w:t>
            </w:r>
          </w:p>
        </w:tc>
        <w:tc>
          <w:tcPr>
            <w:tcW w:type="dxa" w:w="1234"/>
          </w:tcPr>
          <w:p>
            <w:r>
              <w:rPr>
                <w:rFonts w:ascii="Calibri" w:hAnsi="Calibri"/>
                <w:sz w:val="22"/>
              </w:rPr>
              <w:t>-$17.6B</w:t>
            </w:r>
          </w:p>
        </w:tc>
        <w:tc>
          <w:tcPr>
            <w:tcW w:type="dxa" w:w="1234"/>
          </w:tcPr>
          <w:p>
            <w:r>
              <w:rPr>
                <w:rFonts w:ascii="Calibri" w:hAnsi="Calibri"/>
                <w:sz w:val="22"/>
              </w:rPr>
              <w:t>Better YoY</w:t>
            </w:r>
          </w:p>
        </w:tc>
        <w:tc>
          <w:tcPr>
            <w:tcW w:type="dxa" w:w="1234"/>
          </w:tcPr>
          <w:p>
            <w:r>
              <w:rPr>
                <w:rFonts w:ascii="Calibri" w:hAnsi="Calibri"/>
                <w:sz w:val="22"/>
              </w:rPr>
              <w:t>Continued equity outflows expected</w:t>
            </w:r>
          </w:p>
        </w:tc>
        <w:tc>
          <w:tcPr>
            <w:tcW w:type="dxa" w:w="1234"/>
          </w:tcPr>
          <w:p>
            <w:r>
              <w:rPr>
                <w:rFonts w:ascii="Calibri" w:hAnsi="Calibri"/>
                <w:sz w:val="22"/>
              </w:rPr>
              <w:t>N/A</w:t>
            </w:r>
          </w:p>
        </w:tc>
      </w:tr>
      <w:tr>
        <w:tc>
          <w:tcPr>
            <w:tcW w:type="dxa" w:w="1234"/>
          </w:tcPr>
          <w:p>
            <w:r>
              <w:rPr>
                <w:rFonts w:ascii="Calibri" w:hAnsi="Calibri"/>
                <w:sz w:val="22"/>
              </w:rPr>
              <w:t>Net Flows — Multi-Asset ($B)</w:t>
            </w:r>
          </w:p>
        </w:tc>
        <w:tc>
          <w:tcPr>
            <w:tcW w:type="dxa" w:w="1234"/>
          </w:tcPr>
          <w:p>
            <w:r>
              <w:rPr>
                <w:rFonts w:ascii="Calibri" w:hAnsi="Calibri"/>
                <w:sz w:val="22"/>
              </w:rPr>
              <w:t>+$4.1B</w:t>
            </w:r>
          </w:p>
        </w:tc>
        <w:tc>
          <w:tcPr>
            <w:tcW w:type="dxa" w:w="1234"/>
          </w:tcPr>
          <w:p>
            <w:r>
              <w:rPr>
                <w:rFonts w:ascii="Calibri" w:hAnsi="Calibri"/>
                <w:sz w:val="22"/>
              </w:rPr>
              <w:t>+$0.9B</w:t>
            </w:r>
          </w:p>
        </w:tc>
        <w:tc>
          <w:tcPr>
            <w:tcW w:type="dxa" w:w="1234"/>
          </w:tcPr>
          <w:p>
            <w:r>
              <w:rPr>
                <w:rFonts w:ascii="Calibri" w:hAnsi="Calibri"/>
                <w:sz w:val="22"/>
              </w:rPr>
              <w:t>+$6.9B</w:t>
            </w:r>
          </w:p>
        </w:tc>
        <w:tc>
          <w:tcPr>
            <w:tcW w:type="dxa" w:w="1234"/>
          </w:tcPr>
          <w:p>
            <w:r>
              <w:rPr>
                <w:rFonts w:ascii="Calibri" w:hAnsi="Calibri"/>
                <w:sz w:val="22"/>
              </w:rPr>
              <w:t>Better YoY</w:t>
            </w:r>
          </w:p>
        </w:tc>
        <w:tc>
          <w:tcPr>
            <w:tcW w:type="dxa" w:w="1234"/>
          </w:tcPr>
          <w:p>
            <w:r>
              <w:rPr>
                <w:rFonts w:ascii="Calibri" w:hAnsi="Calibri"/>
                <w:sz w:val="22"/>
              </w:rPr>
              <w:t>Target Date blend driving inflows</w:t>
            </w:r>
          </w:p>
        </w:tc>
        <w:tc>
          <w:tcPr>
            <w:tcW w:type="dxa" w:w="1234"/>
          </w:tcPr>
          <w:p>
            <w:r>
              <w:rPr>
                <w:rFonts w:ascii="Calibri" w:hAnsi="Calibri"/>
                <w:sz w:val="22"/>
              </w:rPr>
              <w:t>N/A</w:t>
            </w:r>
          </w:p>
        </w:tc>
      </w:tr>
      <w:tr>
        <w:tc>
          <w:tcPr>
            <w:tcW w:type="dxa" w:w="1234"/>
          </w:tcPr>
          <w:p>
            <w:r>
              <w:rPr>
                <w:rFonts w:ascii="Calibri" w:hAnsi="Calibri"/>
                <w:sz w:val="22"/>
              </w:rPr>
              <w:t>Net Flows — Fixed Income ($B)</w:t>
            </w:r>
          </w:p>
        </w:tc>
        <w:tc>
          <w:tcPr>
            <w:tcW w:type="dxa" w:w="1234"/>
          </w:tcPr>
          <w:p>
            <w:r>
              <w:rPr>
                <w:rFonts w:ascii="Calibri" w:hAnsi="Calibri"/>
                <w:sz w:val="22"/>
              </w:rPr>
              <w:t>+$3.5B</w:t>
            </w:r>
          </w:p>
        </w:tc>
        <w:tc>
          <w:tcPr>
            <w:tcW w:type="dxa" w:w="1234"/>
          </w:tcPr>
          <w:p>
            <w:r>
              <w:rPr>
                <w:rFonts w:ascii="Calibri" w:hAnsi="Calibri"/>
                <w:sz w:val="22"/>
              </w:rPr>
              <w:t>+$1.2B</w:t>
            </w:r>
          </w:p>
        </w:tc>
        <w:tc>
          <w:tcPr>
            <w:tcW w:type="dxa" w:w="1234"/>
          </w:tcPr>
          <w:p>
            <w:r>
              <w:rPr>
                <w:rFonts w:ascii="Calibri" w:hAnsi="Calibri"/>
                <w:sz w:val="22"/>
              </w:rPr>
              <w:t>+$3.3B</w:t>
            </w:r>
          </w:p>
        </w:tc>
        <w:tc>
          <w:tcPr>
            <w:tcW w:type="dxa" w:w="1234"/>
          </w:tcPr>
          <w:p>
            <w:r>
              <w:rPr>
                <w:rFonts w:ascii="Calibri" w:hAnsi="Calibri"/>
                <w:sz w:val="22"/>
              </w:rPr>
              <w:t>Better YoY</w:t>
            </w:r>
          </w:p>
        </w:tc>
        <w:tc>
          <w:tcPr>
            <w:tcW w:type="dxa" w:w="1234"/>
          </w:tcPr>
          <w:p>
            <w:r>
              <w:rPr>
                <w:rFonts w:ascii="Calibri" w:hAnsi="Calibri"/>
                <w:sz w:val="22"/>
              </w:rPr>
              <w:t>Positive flows expected</w:t>
            </w:r>
          </w:p>
        </w:tc>
        <w:tc>
          <w:tcPr>
            <w:tcW w:type="dxa" w:w="1234"/>
          </w:tcPr>
          <w:p>
            <w:r>
              <w:rPr>
                <w:rFonts w:ascii="Calibri" w:hAnsi="Calibri"/>
                <w:sz w:val="22"/>
              </w:rPr>
              <w:t>N/A</w:t>
            </w:r>
          </w:p>
        </w:tc>
      </w:tr>
      <w:tr>
        <w:tc>
          <w:tcPr>
            <w:tcW w:type="dxa" w:w="1234"/>
          </w:tcPr>
          <w:p>
            <w:r>
              <w:rPr>
                <w:rFonts w:ascii="Calibri" w:hAnsi="Calibri"/>
                <w:sz w:val="22"/>
              </w:rPr>
              <w:t>Net Flows — Alternatives ($B)</w:t>
            </w:r>
          </w:p>
        </w:tc>
        <w:tc>
          <w:tcPr>
            <w:tcW w:type="dxa" w:w="1234"/>
          </w:tcPr>
          <w:p>
            <w:r>
              <w:rPr>
                <w:rFonts w:ascii="Calibri" w:hAnsi="Calibri"/>
                <w:sz w:val="22"/>
              </w:rPr>
              <w:t>+$1.3B</w:t>
            </w:r>
          </w:p>
        </w:tc>
        <w:tc>
          <w:tcPr>
            <w:tcW w:type="dxa" w:w="1234"/>
          </w:tcPr>
          <w:p>
            <w:r>
              <w:rPr>
                <w:rFonts w:ascii="Calibri" w:hAnsi="Calibri"/>
                <w:sz w:val="22"/>
              </w:rPr>
              <w:t>+$1.1B</w:t>
            </w:r>
          </w:p>
        </w:tc>
        <w:tc>
          <w:tcPr>
            <w:tcW w:type="dxa" w:w="1234"/>
          </w:tcPr>
          <w:p>
            <w:r>
              <w:rPr>
                <w:rFonts w:ascii="Calibri" w:hAnsi="Calibri"/>
                <w:sz w:val="22"/>
              </w:rPr>
              <w:t>+$0.8B</w:t>
            </w:r>
          </w:p>
        </w:tc>
        <w:tc>
          <w:tcPr>
            <w:tcW w:type="dxa" w:w="1234"/>
          </w:tcPr>
          <w:p>
            <w:r>
              <w:rPr>
                <w:rFonts w:ascii="Calibri" w:hAnsi="Calibri"/>
                <w:sz w:val="22"/>
              </w:rPr>
              <w:t>Roughly flat YoY</w:t>
            </w:r>
          </w:p>
        </w:tc>
        <w:tc>
          <w:tcPr>
            <w:tcW w:type="dxa" w:w="1234"/>
          </w:tcPr>
          <w:p>
            <w:r>
              <w:rPr>
                <w:rFonts w:ascii="Calibri" w:hAnsi="Calibri"/>
                <w:sz w:val="22"/>
              </w:rPr>
              <w:t>OHA growth continues</w:t>
            </w:r>
          </w:p>
        </w:tc>
        <w:tc>
          <w:tcPr>
            <w:tcW w:type="dxa" w:w="1234"/>
          </w:tcPr>
          <w:p>
            <w:r>
              <w:rPr>
                <w:rFonts w:ascii="Calibri" w:hAnsi="Calibri"/>
                <w:sz w:val="22"/>
              </w:rPr>
              <w:t>N/A</w:t>
            </w:r>
          </w:p>
        </w:tc>
      </w:tr>
    </w:tbl>
    <w:p>
      <w:r>
        <w:rPr>
          <w:rFonts w:ascii="Calibri" w:hAnsi="Calibri"/>
          <w:i/>
          <w:color w:val="525866"/>
          <w:sz w:val="22"/>
        </w:rPr>
        <w:t>Sources: Visible Alpha Consensus and Actuals Data; T. Rowe Price June 2026 AUM Press Release (July 13, 2026). Q2 2026 Actual AUM of $1.893T confirmed via preliminary release. All other Q2 2026 figures are consensus estimates.</w:t>
      </w:r>
    </w:p>
    <w:p>
      <w:pPr>
        <w:pStyle w:val="Heading3"/>
      </w:pPr>
      <w:r>
        <w:rPr>
          <w:rFonts w:ascii="Calibri" w:hAnsi="Calibri"/>
          <w:b/>
          <w:color w:val="3B4259"/>
          <w:sz w:val="24"/>
        </w:rPr>
        <w:t>Table 2 — Beat/Miss History (Last 8 Quarters, Top 2 KPIs)</w:t>
      </w:r>
    </w:p>
    <w:p>
      <w:r>
        <w:rPr>
          <w:rFonts w:ascii="Calibri" w:hAnsi="Calibri"/>
          <w:b/>
          <w:color w:val="525866"/>
          <w:sz w:val="22"/>
        </w:rPr>
        <w:t>KPI 1: Total EOP AUM ($T)</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w:t>
            </w:r>
          </w:p>
        </w:tc>
        <w:tc>
          <w:tcPr>
            <w:tcW w:type="dxa" w:w="1728"/>
            <w:shd w:val="clear" w:color="auto" w:fill="3B4259"/>
          </w:tcPr>
          <w:p>
            <w:r>
              <w:rPr>
                <w:rFonts w:ascii="Calibri" w:hAnsi="Calibri"/>
                <w:b/>
                <w:color w:val="FFFFFF"/>
                <w:sz w:val="22"/>
              </w:rPr>
              <w:t>Consensus</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Q2 2024</w:t>
            </w:r>
          </w:p>
        </w:tc>
        <w:tc>
          <w:tcPr>
            <w:tcW w:type="dxa" w:w="1728"/>
          </w:tcPr>
          <w:p>
            <w:r>
              <w:rPr>
                <w:rFonts w:ascii="Calibri" w:hAnsi="Calibri"/>
                <w:sz w:val="22"/>
              </w:rPr>
              <w:t>$1.569T</w:t>
            </w:r>
          </w:p>
        </w:tc>
        <w:tc>
          <w:tcPr>
            <w:tcW w:type="dxa" w:w="1728"/>
          </w:tcPr>
          <w:p>
            <w:r>
              <w:rPr>
                <w:rFonts w:ascii="Calibri" w:hAnsi="Calibri"/>
                <w:sz w:val="22"/>
              </w:rPr>
              <w:t>$1.568T</w:t>
            </w:r>
          </w:p>
        </w:tc>
        <w:tc>
          <w:tcPr>
            <w:tcW w:type="dxa" w:w="1728"/>
          </w:tcPr>
          <w:p>
            <w:r>
              <w:rPr>
                <w:rFonts w:ascii="Calibri" w:hAnsi="Calibri"/>
                <w:sz w:val="22"/>
              </w:rPr>
              <w:t>+0.1%</w:t>
            </w:r>
          </w:p>
        </w:tc>
        <w:tc>
          <w:tcPr>
            <w:tcW w:type="dxa" w:w="1728"/>
          </w:tcPr>
          <w:p>
            <w:r>
              <w:rPr>
                <w:rFonts w:ascii="Calibri" w:hAnsi="Calibri"/>
                <w:b/>
                <w:color w:val="30A46C"/>
                <w:sz w:val="22"/>
              </w:rPr>
              <w:t>Beat</w:t>
            </w:r>
          </w:p>
        </w:tc>
      </w:tr>
      <w:tr>
        <w:tc>
          <w:tcPr>
            <w:tcW w:type="dxa" w:w="1728"/>
          </w:tcPr>
          <w:p>
            <w:r>
              <w:rPr>
                <w:rFonts w:ascii="Calibri" w:hAnsi="Calibri"/>
                <w:sz w:val="22"/>
              </w:rPr>
              <w:t>Q3 2024</w:t>
            </w:r>
          </w:p>
        </w:tc>
        <w:tc>
          <w:tcPr>
            <w:tcW w:type="dxa" w:w="1728"/>
          </w:tcPr>
          <w:p>
            <w:r>
              <w:rPr>
                <w:rFonts w:ascii="Calibri" w:hAnsi="Calibri"/>
                <w:sz w:val="22"/>
              </w:rPr>
              <w:t>$1.631T</w:t>
            </w:r>
          </w:p>
        </w:tc>
        <w:tc>
          <w:tcPr>
            <w:tcW w:type="dxa" w:w="1728"/>
          </w:tcPr>
          <w:p>
            <w:r>
              <w:rPr>
                <w:rFonts w:ascii="Calibri" w:hAnsi="Calibri"/>
                <w:sz w:val="22"/>
              </w:rPr>
              <w:t>$1.632T</w:t>
            </w:r>
          </w:p>
        </w:tc>
        <w:tc>
          <w:tcPr>
            <w:tcW w:type="dxa" w:w="1728"/>
          </w:tcPr>
          <w:p>
            <w:r>
              <w:rPr>
                <w:rFonts w:ascii="Calibri" w:hAnsi="Calibri"/>
                <w:sz w:val="22"/>
              </w:rPr>
              <w:t>-0.1%</w:t>
            </w:r>
          </w:p>
        </w:tc>
        <w:tc>
          <w:tcPr>
            <w:tcW w:type="dxa" w:w="1728"/>
          </w:tcPr>
          <w:p>
            <w:r>
              <w:rPr>
                <w:rFonts w:ascii="Calibri" w:hAnsi="Calibri"/>
                <w:b/>
                <w:color w:val="E5484D"/>
                <w:sz w:val="22"/>
              </w:rPr>
              <w:t>Miss</w:t>
            </w:r>
          </w:p>
        </w:tc>
      </w:tr>
      <w:tr>
        <w:tc>
          <w:tcPr>
            <w:tcW w:type="dxa" w:w="1728"/>
          </w:tcPr>
          <w:p>
            <w:r>
              <w:rPr>
                <w:rFonts w:ascii="Calibri" w:hAnsi="Calibri"/>
                <w:sz w:val="22"/>
              </w:rPr>
              <w:t>Q4 2024</w:t>
            </w:r>
          </w:p>
        </w:tc>
        <w:tc>
          <w:tcPr>
            <w:tcW w:type="dxa" w:w="1728"/>
          </w:tcPr>
          <w:p>
            <w:r>
              <w:rPr>
                <w:rFonts w:ascii="Calibri" w:hAnsi="Calibri"/>
                <w:sz w:val="22"/>
              </w:rPr>
              <w:t>$1.607T</w:t>
            </w:r>
          </w:p>
        </w:tc>
        <w:tc>
          <w:tcPr>
            <w:tcW w:type="dxa" w:w="1728"/>
          </w:tcPr>
          <w:p>
            <w:r>
              <w:rPr>
                <w:rFonts w:ascii="Calibri" w:hAnsi="Calibri"/>
                <w:sz w:val="22"/>
              </w:rPr>
              <w:t>$1.610T</w:t>
            </w:r>
          </w:p>
        </w:tc>
        <w:tc>
          <w:tcPr>
            <w:tcW w:type="dxa" w:w="1728"/>
          </w:tcPr>
          <w:p>
            <w:r>
              <w:rPr>
                <w:rFonts w:ascii="Calibri" w:hAnsi="Calibri"/>
                <w:sz w:val="22"/>
              </w:rPr>
              <w:t>-0.2%</w:t>
            </w:r>
          </w:p>
        </w:tc>
        <w:tc>
          <w:tcPr>
            <w:tcW w:type="dxa" w:w="1728"/>
          </w:tcPr>
          <w:p>
            <w:r>
              <w:rPr>
                <w:rFonts w:ascii="Calibri" w:hAnsi="Calibri"/>
                <w:b/>
                <w:color w:val="E5484D"/>
                <w:sz w:val="22"/>
              </w:rPr>
              <w:t>Miss</w:t>
            </w:r>
          </w:p>
        </w:tc>
      </w:tr>
      <w:tr>
        <w:tc>
          <w:tcPr>
            <w:tcW w:type="dxa" w:w="1728"/>
          </w:tcPr>
          <w:p>
            <w:r>
              <w:rPr>
                <w:rFonts w:ascii="Calibri" w:hAnsi="Calibri"/>
                <w:sz w:val="22"/>
              </w:rPr>
              <w:t>Q1 2025</w:t>
            </w:r>
          </w:p>
        </w:tc>
        <w:tc>
          <w:tcPr>
            <w:tcW w:type="dxa" w:w="1728"/>
          </w:tcPr>
          <w:p>
            <w:r>
              <w:rPr>
                <w:rFonts w:ascii="Calibri" w:hAnsi="Calibri"/>
                <w:sz w:val="22"/>
              </w:rPr>
              <w:t>$1.566T</w:t>
            </w:r>
          </w:p>
        </w:tc>
        <w:tc>
          <w:tcPr>
            <w:tcW w:type="dxa" w:w="1728"/>
          </w:tcPr>
          <w:p>
            <w:r>
              <w:rPr>
                <w:rFonts w:ascii="Calibri" w:hAnsi="Calibri"/>
                <w:sz w:val="22"/>
              </w:rPr>
              <w:t>$1.575T</w:t>
            </w:r>
          </w:p>
        </w:tc>
        <w:tc>
          <w:tcPr>
            <w:tcW w:type="dxa" w:w="1728"/>
          </w:tcPr>
          <w:p>
            <w:r>
              <w:rPr>
                <w:rFonts w:ascii="Calibri" w:hAnsi="Calibri"/>
                <w:sz w:val="22"/>
              </w:rPr>
              <w:t>-0.6%</w:t>
            </w:r>
          </w:p>
        </w:tc>
        <w:tc>
          <w:tcPr>
            <w:tcW w:type="dxa" w:w="1728"/>
          </w:tcPr>
          <w:p>
            <w:r>
              <w:rPr>
                <w:rFonts w:ascii="Calibri" w:hAnsi="Calibri"/>
                <w:b/>
                <w:color w:val="E5484D"/>
                <w:sz w:val="22"/>
              </w:rPr>
              <w:t>Miss</w:t>
            </w:r>
          </w:p>
        </w:tc>
      </w:tr>
      <w:tr>
        <w:tc>
          <w:tcPr>
            <w:tcW w:type="dxa" w:w="1728"/>
          </w:tcPr>
          <w:p>
            <w:r>
              <w:rPr>
                <w:rFonts w:ascii="Calibri" w:hAnsi="Calibri"/>
                <w:sz w:val="22"/>
              </w:rPr>
              <w:t>Q2 2025</w:t>
            </w:r>
          </w:p>
        </w:tc>
        <w:tc>
          <w:tcPr>
            <w:tcW w:type="dxa" w:w="1728"/>
          </w:tcPr>
          <w:p>
            <w:r>
              <w:rPr>
                <w:rFonts w:ascii="Calibri" w:hAnsi="Calibri"/>
                <w:sz w:val="22"/>
              </w:rPr>
              <w:t>$1.677T</w:t>
            </w:r>
          </w:p>
        </w:tc>
        <w:tc>
          <w:tcPr>
            <w:tcW w:type="dxa" w:w="1728"/>
          </w:tcPr>
          <w:p>
            <w:r>
              <w:rPr>
                <w:rFonts w:ascii="Calibri" w:hAnsi="Calibri"/>
                <w:sz w:val="22"/>
              </w:rPr>
              <w:t>$1.659T</w:t>
            </w:r>
          </w:p>
        </w:tc>
        <w:tc>
          <w:tcPr>
            <w:tcW w:type="dxa" w:w="1728"/>
          </w:tcPr>
          <w:p>
            <w:r>
              <w:rPr>
                <w:rFonts w:ascii="Calibri" w:hAnsi="Calibri"/>
                <w:sz w:val="22"/>
              </w:rPr>
              <w:t>+1.1%</w:t>
            </w:r>
          </w:p>
        </w:tc>
        <w:tc>
          <w:tcPr>
            <w:tcW w:type="dxa" w:w="1728"/>
          </w:tcPr>
          <w:p>
            <w:r>
              <w:rPr>
                <w:rFonts w:ascii="Calibri" w:hAnsi="Calibri"/>
                <w:b/>
                <w:color w:val="30A46C"/>
                <w:sz w:val="22"/>
              </w:rPr>
              <w:t>Beat</w:t>
            </w:r>
          </w:p>
        </w:tc>
      </w:tr>
      <w:tr>
        <w:tc>
          <w:tcPr>
            <w:tcW w:type="dxa" w:w="1728"/>
          </w:tcPr>
          <w:p>
            <w:r>
              <w:rPr>
                <w:rFonts w:ascii="Calibri" w:hAnsi="Calibri"/>
                <w:sz w:val="22"/>
              </w:rPr>
              <w:t>Q3 2025</w:t>
            </w:r>
          </w:p>
        </w:tc>
        <w:tc>
          <w:tcPr>
            <w:tcW w:type="dxa" w:w="1728"/>
          </w:tcPr>
          <w:p>
            <w:r>
              <w:rPr>
                <w:rFonts w:ascii="Calibri" w:hAnsi="Calibri"/>
                <w:sz w:val="22"/>
              </w:rPr>
              <w:t>$1.767T</w:t>
            </w:r>
          </w:p>
        </w:tc>
        <w:tc>
          <w:tcPr>
            <w:tcW w:type="dxa" w:w="1728"/>
          </w:tcPr>
          <w:p>
            <w:r>
              <w:rPr>
                <w:rFonts w:ascii="Calibri" w:hAnsi="Calibri"/>
                <w:sz w:val="22"/>
              </w:rPr>
              <w:t>$1.763T</w:t>
            </w:r>
          </w:p>
        </w:tc>
        <w:tc>
          <w:tcPr>
            <w:tcW w:type="dxa" w:w="1728"/>
          </w:tcPr>
          <w:p>
            <w:r>
              <w:rPr>
                <w:rFonts w:ascii="Calibri" w:hAnsi="Calibri"/>
                <w:sz w:val="22"/>
              </w:rPr>
              <w:t>+0.2%</w:t>
            </w:r>
          </w:p>
        </w:tc>
        <w:tc>
          <w:tcPr>
            <w:tcW w:type="dxa" w:w="1728"/>
          </w:tcPr>
          <w:p>
            <w:r>
              <w:rPr>
                <w:rFonts w:ascii="Calibri" w:hAnsi="Calibri"/>
                <w:b/>
                <w:color w:val="30A46C"/>
                <w:sz w:val="22"/>
              </w:rPr>
              <w:t>Beat</w:t>
            </w:r>
          </w:p>
        </w:tc>
      </w:tr>
      <w:tr>
        <w:tc>
          <w:tcPr>
            <w:tcW w:type="dxa" w:w="1728"/>
          </w:tcPr>
          <w:p>
            <w:r>
              <w:rPr>
                <w:rFonts w:ascii="Calibri" w:hAnsi="Calibri"/>
                <w:sz w:val="22"/>
              </w:rPr>
              <w:t>Q4 2025</w:t>
            </w:r>
          </w:p>
        </w:tc>
        <w:tc>
          <w:tcPr>
            <w:tcW w:type="dxa" w:w="1728"/>
          </w:tcPr>
          <w:p>
            <w:r>
              <w:rPr>
                <w:rFonts w:ascii="Calibri" w:hAnsi="Calibri"/>
                <w:sz w:val="22"/>
              </w:rPr>
              <w:t>$1.776T</w:t>
            </w:r>
          </w:p>
        </w:tc>
        <w:tc>
          <w:tcPr>
            <w:tcW w:type="dxa" w:w="1728"/>
          </w:tcPr>
          <w:p>
            <w:r>
              <w:rPr>
                <w:rFonts w:ascii="Calibri" w:hAnsi="Calibri"/>
                <w:sz w:val="22"/>
              </w:rPr>
              <w:t>$1.777T</w:t>
            </w:r>
          </w:p>
        </w:tc>
        <w:tc>
          <w:tcPr>
            <w:tcW w:type="dxa" w:w="1728"/>
          </w:tcPr>
          <w:p>
            <w:r>
              <w:rPr>
                <w:rFonts w:ascii="Calibri" w:hAnsi="Calibri"/>
                <w:sz w:val="22"/>
              </w:rPr>
              <w:t>-0.1%</w:t>
            </w:r>
          </w:p>
        </w:tc>
        <w:tc>
          <w:tcPr>
            <w:tcW w:type="dxa" w:w="1728"/>
          </w:tcPr>
          <w:p>
            <w:r>
              <w:rPr>
                <w:rFonts w:ascii="Calibri" w:hAnsi="Calibri"/>
                <w:b/>
                <w:color w:val="E5484D"/>
                <w:sz w:val="22"/>
              </w:rPr>
              <w:t>Miss</w:t>
            </w:r>
          </w:p>
        </w:tc>
      </w:tr>
      <w:tr>
        <w:tc>
          <w:tcPr>
            <w:tcW w:type="dxa" w:w="1728"/>
          </w:tcPr>
          <w:p>
            <w:r>
              <w:rPr>
                <w:rFonts w:ascii="Calibri" w:hAnsi="Calibri"/>
                <w:sz w:val="22"/>
              </w:rPr>
              <w:t>Q1 2026</w:t>
            </w:r>
          </w:p>
        </w:tc>
        <w:tc>
          <w:tcPr>
            <w:tcW w:type="dxa" w:w="1728"/>
          </w:tcPr>
          <w:p>
            <w:r>
              <w:rPr>
                <w:rFonts w:ascii="Calibri" w:hAnsi="Calibri"/>
                <w:sz w:val="22"/>
              </w:rPr>
              <w:t>$1.710T</w:t>
            </w:r>
          </w:p>
        </w:tc>
        <w:tc>
          <w:tcPr>
            <w:tcW w:type="dxa" w:w="1728"/>
          </w:tcPr>
          <w:p>
            <w:r>
              <w:rPr>
                <w:rFonts w:ascii="Calibri" w:hAnsi="Calibri"/>
                <w:sz w:val="22"/>
              </w:rPr>
              <w:t>$1.704T</w:t>
            </w:r>
          </w:p>
        </w:tc>
        <w:tc>
          <w:tcPr>
            <w:tcW w:type="dxa" w:w="1728"/>
          </w:tcPr>
          <w:p>
            <w:r>
              <w:rPr>
                <w:rFonts w:ascii="Calibri" w:hAnsi="Calibri"/>
                <w:sz w:val="22"/>
              </w:rPr>
              <w:t>+0.4%</w:t>
            </w:r>
          </w:p>
        </w:tc>
        <w:tc>
          <w:tcPr>
            <w:tcW w:type="dxa" w:w="1728"/>
          </w:tcPr>
          <w:p>
            <w:r>
              <w:rPr>
                <w:rFonts w:ascii="Calibri" w:hAnsi="Calibri"/>
                <w:b/>
                <w:color w:val="30A46C"/>
                <w:sz w:val="22"/>
              </w:rPr>
              <w:t>Beat</w:t>
            </w:r>
          </w:p>
        </w:tc>
      </w:tr>
    </w:tbl>
    <w:p>
      <w:r>
        <w:rPr>
          <w:rFonts w:ascii="Calibri" w:hAnsi="Calibri"/>
          <w:b/>
          <w:color w:val="525866"/>
          <w:sz w:val="22"/>
        </w:rPr>
        <w:t>KPI 2: Net Flows — Total ($B)</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w:t>
            </w:r>
          </w:p>
        </w:tc>
        <w:tc>
          <w:tcPr>
            <w:tcW w:type="dxa" w:w="1728"/>
            <w:shd w:val="clear" w:color="auto" w:fill="3B4259"/>
          </w:tcPr>
          <w:p>
            <w:r>
              <w:rPr>
                <w:rFonts w:ascii="Calibri" w:hAnsi="Calibri"/>
                <w:b/>
                <w:color w:val="FFFFFF"/>
                <w:sz w:val="22"/>
              </w:rPr>
              <w:t>Consensus</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Q2 2024</w:t>
            </w:r>
          </w:p>
        </w:tc>
        <w:tc>
          <w:tcPr>
            <w:tcW w:type="dxa" w:w="1728"/>
          </w:tcPr>
          <w:p>
            <w:r>
              <w:rPr>
                <w:rFonts w:ascii="Calibri" w:hAnsi="Calibri"/>
                <w:sz w:val="22"/>
              </w:rPr>
              <w:t>-$3.7B</w:t>
            </w:r>
          </w:p>
        </w:tc>
        <w:tc>
          <w:tcPr>
            <w:tcW w:type="dxa" w:w="1728"/>
          </w:tcPr>
          <w:p>
            <w:r>
              <w:rPr>
                <w:rFonts w:ascii="Calibri" w:hAnsi="Calibri"/>
                <w:sz w:val="22"/>
              </w:rPr>
              <w:t>-$3.6B</w:t>
            </w:r>
          </w:p>
        </w:tc>
        <w:tc>
          <w:tcPr>
            <w:tcW w:type="dxa" w:w="1728"/>
          </w:tcPr>
          <w:p>
            <w:r>
              <w:rPr>
                <w:rFonts w:ascii="Calibri" w:hAnsi="Calibri"/>
                <w:sz w:val="22"/>
              </w:rPr>
              <w:t>-2.8% (worse)</w:t>
            </w:r>
          </w:p>
        </w:tc>
        <w:tc>
          <w:tcPr>
            <w:tcW w:type="dxa" w:w="1728"/>
          </w:tcPr>
          <w:p>
            <w:r>
              <w:rPr>
                <w:rFonts w:ascii="Calibri" w:hAnsi="Calibri"/>
                <w:b/>
                <w:color w:val="E5484D"/>
                <w:sz w:val="22"/>
              </w:rPr>
              <w:t>Miss</w:t>
            </w:r>
          </w:p>
        </w:tc>
      </w:tr>
      <w:tr>
        <w:tc>
          <w:tcPr>
            <w:tcW w:type="dxa" w:w="1728"/>
          </w:tcPr>
          <w:p>
            <w:r>
              <w:rPr>
                <w:rFonts w:ascii="Calibri" w:hAnsi="Calibri"/>
                <w:sz w:val="22"/>
              </w:rPr>
              <w:t>Q3 2024</w:t>
            </w:r>
          </w:p>
        </w:tc>
        <w:tc>
          <w:tcPr>
            <w:tcW w:type="dxa" w:w="1728"/>
          </w:tcPr>
          <w:p>
            <w:r>
              <w:rPr>
                <w:rFonts w:ascii="Calibri" w:hAnsi="Calibri"/>
                <w:sz w:val="22"/>
              </w:rPr>
              <w:t>-$12.2B</w:t>
            </w:r>
          </w:p>
        </w:tc>
        <w:tc>
          <w:tcPr>
            <w:tcW w:type="dxa" w:w="1728"/>
          </w:tcPr>
          <w:p>
            <w:r>
              <w:rPr>
                <w:rFonts w:ascii="Calibri" w:hAnsi="Calibri"/>
                <w:sz w:val="22"/>
              </w:rPr>
              <w:t>-$12.4B</w:t>
            </w:r>
          </w:p>
        </w:tc>
        <w:tc>
          <w:tcPr>
            <w:tcW w:type="dxa" w:w="1728"/>
          </w:tcPr>
          <w:p>
            <w:r>
              <w:rPr>
                <w:rFonts w:ascii="Calibri" w:hAnsi="Calibri"/>
                <w:sz w:val="22"/>
              </w:rPr>
              <w:t>+1.6% (better)</w:t>
            </w:r>
          </w:p>
        </w:tc>
        <w:tc>
          <w:tcPr>
            <w:tcW w:type="dxa" w:w="1728"/>
          </w:tcPr>
          <w:p>
            <w:r>
              <w:rPr>
                <w:rFonts w:ascii="Calibri" w:hAnsi="Calibri"/>
                <w:b/>
                <w:color w:val="30A46C"/>
                <w:sz w:val="22"/>
              </w:rPr>
              <w:t>Beat</w:t>
            </w:r>
          </w:p>
        </w:tc>
      </w:tr>
      <w:tr>
        <w:tc>
          <w:tcPr>
            <w:tcW w:type="dxa" w:w="1728"/>
          </w:tcPr>
          <w:p>
            <w:r>
              <w:rPr>
                <w:rFonts w:ascii="Calibri" w:hAnsi="Calibri"/>
                <w:sz w:val="22"/>
              </w:rPr>
              <w:t>Q4 2024</w:t>
            </w:r>
          </w:p>
        </w:tc>
        <w:tc>
          <w:tcPr>
            <w:tcW w:type="dxa" w:w="1728"/>
          </w:tcPr>
          <w:p>
            <w:r>
              <w:rPr>
                <w:rFonts w:ascii="Calibri" w:hAnsi="Calibri"/>
                <w:sz w:val="22"/>
              </w:rPr>
              <w:t>-$19.3B</w:t>
            </w:r>
          </w:p>
        </w:tc>
        <w:tc>
          <w:tcPr>
            <w:tcW w:type="dxa" w:w="1728"/>
          </w:tcPr>
          <w:p>
            <w:r>
              <w:rPr>
                <w:rFonts w:ascii="Calibri" w:hAnsi="Calibri"/>
                <w:sz w:val="22"/>
              </w:rPr>
              <w:t>-$21.1B</w:t>
            </w:r>
          </w:p>
        </w:tc>
        <w:tc>
          <w:tcPr>
            <w:tcW w:type="dxa" w:w="1728"/>
          </w:tcPr>
          <w:p>
            <w:r>
              <w:rPr>
                <w:rFonts w:ascii="Calibri" w:hAnsi="Calibri"/>
                <w:sz w:val="22"/>
              </w:rPr>
              <w:t>+8.5% (better)</w:t>
            </w:r>
          </w:p>
        </w:tc>
        <w:tc>
          <w:tcPr>
            <w:tcW w:type="dxa" w:w="1728"/>
          </w:tcPr>
          <w:p>
            <w:r>
              <w:rPr>
                <w:rFonts w:ascii="Calibri" w:hAnsi="Calibri"/>
                <w:b/>
                <w:color w:val="30A46C"/>
                <w:sz w:val="22"/>
              </w:rPr>
              <w:t>Beat</w:t>
            </w:r>
          </w:p>
        </w:tc>
      </w:tr>
      <w:tr>
        <w:tc>
          <w:tcPr>
            <w:tcW w:type="dxa" w:w="1728"/>
          </w:tcPr>
          <w:p>
            <w:r>
              <w:rPr>
                <w:rFonts w:ascii="Calibri" w:hAnsi="Calibri"/>
                <w:sz w:val="22"/>
              </w:rPr>
              <w:t>Q1 2025</w:t>
            </w:r>
          </w:p>
        </w:tc>
        <w:tc>
          <w:tcPr>
            <w:tcW w:type="dxa" w:w="1728"/>
          </w:tcPr>
          <w:p>
            <w:r>
              <w:rPr>
                <w:rFonts w:ascii="Calibri" w:hAnsi="Calibri"/>
                <w:sz w:val="22"/>
              </w:rPr>
              <w:t>-$8.6B</w:t>
            </w:r>
          </w:p>
        </w:tc>
        <w:tc>
          <w:tcPr>
            <w:tcW w:type="dxa" w:w="1728"/>
          </w:tcPr>
          <w:p>
            <w:r>
              <w:rPr>
                <w:rFonts w:ascii="Calibri" w:hAnsi="Calibri"/>
                <w:sz w:val="22"/>
              </w:rPr>
              <w:t>-$9.5B</w:t>
            </w:r>
          </w:p>
        </w:tc>
        <w:tc>
          <w:tcPr>
            <w:tcW w:type="dxa" w:w="1728"/>
          </w:tcPr>
          <w:p>
            <w:r>
              <w:rPr>
                <w:rFonts w:ascii="Calibri" w:hAnsi="Calibri"/>
                <w:sz w:val="22"/>
              </w:rPr>
              <w:t>+9.5% (better)</w:t>
            </w:r>
          </w:p>
        </w:tc>
        <w:tc>
          <w:tcPr>
            <w:tcW w:type="dxa" w:w="1728"/>
          </w:tcPr>
          <w:p>
            <w:r>
              <w:rPr>
                <w:rFonts w:ascii="Calibri" w:hAnsi="Calibri"/>
                <w:b/>
                <w:color w:val="30A46C"/>
                <w:sz w:val="22"/>
              </w:rPr>
              <w:t>Beat</w:t>
            </w:r>
          </w:p>
        </w:tc>
      </w:tr>
      <w:tr>
        <w:tc>
          <w:tcPr>
            <w:tcW w:type="dxa" w:w="1728"/>
          </w:tcPr>
          <w:p>
            <w:r>
              <w:rPr>
                <w:rFonts w:ascii="Calibri" w:hAnsi="Calibri"/>
                <w:sz w:val="22"/>
              </w:rPr>
              <w:t>Q2 2025</w:t>
            </w:r>
          </w:p>
        </w:tc>
        <w:tc>
          <w:tcPr>
            <w:tcW w:type="dxa" w:w="1728"/>
          </w:tcPr>
          <w:p>
            <w:r>
              <w:rPr>
                <w:rFonts w:ascii="Calibri" w:hAnsi="Calibri"/>
                <w:sz w:val="22"/>
              </w:rPr>
              <w:t>-$14.9B</w:t>
            </w:r>
          </w:p>
        </w:tc>
        <w:tc>
          <w:tcPr>
            <w:tcW w:type="dxa" w:w="1728"/>
          </w:tcPr>
          <w:p>
            <w:r>
              <w:rPr>
                <w:rFonts w:ascii="Calibri" w:hAnsi="Calibri"/>
                <w:sz w:val="22"/>
              </w:rPr>
              <w:t>-$12.6B</w:t>
            </w:r>
          </w:p>
        </w:tc>
        <w:tc>
          <w:tcPr>
            <w:tcW w:type="dxa" w:w="1728"/>
          </w:tcPr>
          <w:p>
            <w:r>
              <w:rPr>
                <w:rFonts w:ascii="Calibri" w:hAnsi="Calibri"/>
                <w:sz w:val="22"/>
              </w:rPr>
              <w:t>-18.3% (worse)</w:t>
            </w:r>
          </w:p>
        </w:tc>
        <w:tc>
          <w:tcPr>
            <w:tcW w:type="dxa" w:w="1728"/>
          </w:tcPr>
          <w:p>
            <w:r>
              <w:rPr>
                <w:rFonts w:ascii="Calibri" w:hAnsi="Calibri"/>
                <w:b/>
                <w:color w:val="E5484D"/>
                <w:sz w:val="22"/>
              </w:rPr>
              <w:t>Miss</w:t>
            </w:r>
          </w:p>
        </w:tc>
      </w:tr>
      <w:tr>
        <w:tc>
          <w:tcPr>
            <w:tcW w:type="dxa" w:w="1728"/>
          </w:tcPr>
          <w:p>
            <w:r>
              <w:rPr>
                <w:rFonts w:ascii="Calibri" w:hAnsi="Calibri"/>
                <w:sz w:val="22"/>
              </w:rPr>
              <w:t>Q3 2025</w:t>
            </w:r>
          </w:p>
        </w:tc>
        <w:tc>
          <w:tcPr>
            <w:tcW w:type="dxa" w:w="1728"/>
          </w:tcPr>
          <w:p>
            <w:r>
              <w:rPr>
                <w:rFonts w:ascii="Calibri" w:hAnsi="Calibri"/>
                <w:sz w:val="22"/>
              </w:rPr>
              <w:t>-$7.9B</w:t>
            </w:r>
          </w:p>
        </w:tc>
        <w:tc>
          <w:tcPr>
            <w:tcW w:type="dxa" w:w="1728"/>
          </w:tcPr>
          <w:p>
            <w:r>
              <w:rPr>
                <w:rFonts w:ascii="Calibri" w:hAnsi="Calibri"/>
                <w:sz w:val="22"/>
              </w:rPr>
              <w:t>-$8.6B</w:t>
            </w:r>
          </w:p>
        </w:tc>
        <w:tc>
          <w:tcPr>
            <w:tcW w:type="dxa" w:w="1728"/>
          </w:tcPr>
          <w:p>
            <w:r>
              <w:rPr>
                <w:rFonts w:ascii="Calibri" w:hAnsi="Calibri"/>
                <w:sz w:val="22"/>
              </w:rPr>
              <w:t>+8.1% (better)</w:t>
            </w:r>
          </w:p>
        </w:tc>
        <w:tc>
          <w:tcPr>
            <w:tcW w:type="dxa" w:w="1728"/>
          </w:tcPr>
          <w:p>
            <w:r>
              <w:rPr>
                <w:rFonts w:ascii="Calibri" w:hAnsi="Calibri"/>
                <w:b/>
                <w:color w:val="30A46C"/>
                <w:sz w:val="22"/>
              </w:rPr>
              <w:t>Beat</w:t>
            </w:r>
          </w:p>
        </w:tc>
      </w:tr>
      <w:tr>
        <w:tc>
          <w:tcPr>
            <w:tcW w:type="dxa" w:w="1728"/>
          </w:tcPr>
          <w:p>
            <w:r>
              <w:rPr>
                <w:rFonts w:ascii="Calibri" w:hAnsi="Calibri"/>
                <w:sz w:val="22"/>
              </w:rPr>
              <w:t>Q4 2025</w:t>
            </w:r>
          </w:p>
        </w:tc>
        <w:tc>
          <w:tcPr>
            <w:tcW w:type="dxa" w:w="1728"/>
          </w:tcPr>
          <w:p>
            <w:r>
              <w:rPr>
                <w:rFonts w:ascii="Calibri" w:hAnsi="Calibri"/>
                <w:sz w:val="22"/>
              </w:rPr>
              <w:t>-$25.5B</w:t>
            </w:r>
          </w:p>
        </w:tc>
        <w:tc>
          <w:tcPr>
            <w:tcW w:type="dxa" w:w="1728"/>
          </w:tcPr>
          <w:p>
            <w:r>
              <w:rPr>
                <w:rFonts w:ascii="Calibri" w:hAnsi="Calibri"/>
                <w:sz w:val="22"/>
              </w:rPr>
              <w:t>-$24.1B</w:t>
            </w:r>
          </w:p>
        </w:tc>
        <w:tc>
          <w:tcPr>
            <w:tcW w:type="dxa" w:w="1728"/>
          </w:tcPr>
          <w:p>
            <w:r>
              <w:rPr>
                <w:rFonts w:ascii="Calibri" w:hAnsi="Calibri"/>
                <w:sz w:val="22"/>
              </w:rPr>
              <w:t>-5.8% (worse)</w:t>
            </w:r>
          </w:p>
        </w:tc>
        <w:tc>
          <w:tcPr>
            <w:tcW w:type="dxa" w:w="1728"/>
          </w:tcPr>
          <w:p>
            <w:r>
              <w:rPr>
                <w:rFonts w:ascii="Calibri" w:hAnsi="Calibri"/>
                <w:b/>
                <w:color w:val="E5484D"/>
                <w:sz w:val="22"/>
              </w:rPr>
              <w:t>Miss</w:t>
            </w:r>
          </w:p>
        </w:tc>
      </w:tr>
      <w:tr>
        <w:tc>
          <w:tcPr>
            <w:tcW w:type="dxa" w:w="1728"/>
          </w:tcPr>
          <w:p>
            <w:r>
              <w:rPr>
                <w:rFonts w:ascii="Calibri" w:hAnsi="Calibri"/>
                <w:sz w:val="22"/>
              </w:rPr>
              <w:t>Q1 2026</w:t>
            </w:r>
          </w:p>
        </w:tc>
        <w:tc>
          <w:tcPr>
            <w:tcW w:type="dxa" w:w="1728"/>
          </w:tcPr>
          <w:p>
            <w:r>
              <w:rPr>
                <w:rFonts w:ascii="Calibri" w:hAnsi="Calibri"/>
                <w:sz w:val="22"/>
              </w:rPr>
              <w:t>-$13.7B</w:t>
            </w:r>
          </w:p>
        </w:tc>
        <w:tc>
          <w:tcPr>
            <w:tcW w:type="dxa" w:w="1728"/>
          </w:tcPr>
          <w:p>
            <w:r>
              <w:rPr>
                <w:rFonts w:ascii="Calibri" w:hAnsi="Calibri"/>
                <w:sz w:val="22"/>
              </w:rPr>
              <w:t>-$16.9B</w:t>
            </w:r>
          </w:p>
        </w:tc>
        <w:tc>
          <w:tcPr>
            <w:tcW w:type="dxa" w:w="1728"/>
          </w:tcPr>
          <w:p>
            <w:r>
              <w:rPr>
                <w:rFonts w:ascii="Calibri" w:hAnsi="Calibri"/>
                <w:sz w:val="22"/>
              </w:rPr>
              <w:t>+18.9% (better)</w:t>
            </w:r>
          </w:p>
        </w:tc>
        <w:tc>
          <w:tcPr>
            <w:tcW w:type="dxa" w:w="1728"/>
          </w:tcPr>
          <w:p>
            <w:r>
              <w:rPr>
                <w:rFonts w:ascii="Calibri" w:hAnsi="Calibri"/>
                <w:b/>
                <w:color w:val="30A46C"/>
                <w:sz w:val="22"/>
              </w:rPr>
              <w:t>Beat</w:t>
            </w:r>
          </w:p>
        </w:tc>
      </w:tr>
    </w:tbl>
    <w:p>
      <w:r>
        <w:rPr>
          <w:rFonts w:ascii="Calibri" w:hAnsi="Calibri"/>
          <w:b/>
          <w:color w:val="525866"/>
          <w:sz w:val="22"/>
        </w:rPr>
        <w:t xml:space="preserve">Pattern: </w:t>
      </w:r>
      <w:r>
        <w:rPr>
          <w:rFonts w:ascii="Calibri" w:hAnsi="Calibri"/>
          <w:i/>
          <w:color w:val="525866"/>
          <w:sz w:val="22"/>
        </w:rPr>
        <w:t>Net flows have beaten consensus in 5 of the last 8 quarters, but the misses tend to be large (Q2 2025: -18.3%, Q4 2025: -5.8%), suggesting the street struggles to model the lumpiness of institutional outflows; AUM beats/misses are tight and largely market-driven. Source: Visible Alpha Consensus and Actuals Data.</w:t>
      </w:r>
    </w:p>
    <w:p>
      <w:r>
        <w:br w:type="page"/>
      </w:r>
    </w:p>
    <w:p>
      <w:pPr>
        <w:pStyle w:val="Heading2"/>
      </w:pPr>
      <w:r>
        <w:rPr>
          <w:rFonts w:ascii="Calibri" w:hAnsi="Calibri"/>
          <w:b/>
          <w:color w:val="3B4259"/>
          <w:sz w:val="28"/>
        </w:rPr>
        <w:t>Guidance &amp; Commentary Evolution</w:t>
      </w:r>
    </w:p>
    <w:p>
      <w:r>
        <w:rPr>
          <w:rFonts w:ascii="Calibri" w:hAnsi="Calibri"/>
          <w:b/>
          <w:color w:val="525866"/>
          <w:sz w:val="22"/>
        </w:rPr>
        <w:t xml:space="preserve">Key Takeaway: </w:t>
      </w:r>
      <w:r>
        <w:rPr>
          <w:rFonts w:ascii="Calibri" w:hAnsi="Calibri"/>
          <w:color w:val="525866"/>
          <w:sz w:val="22"/>
        </w:rPr>
        <w:t>Management's guidance is unchanged since the Q1 2026 earnings call (April 30) — full-year expense growth of 3–6% over 2025's $4.6B adjusted base remains the only formal guidance; tone has been constructive with strategic partnerships moving into execution and OHA highlighted as a core growth driver.</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Apr 30)</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FY2026 Adj. Operating Expenses (ex-carried interest)</w:t>
            </w:r>
          </w:p>
        </w:tc>
        <w:tc>
          <w:tcPr>
            <w:tcW w:type="dxa" w:w="1728"/>
          </w:tcPr>
          <w:p>
            <w:r>
              <w:rPr>
                <w:rFonts w:ascii="Calibri" w:hAnsi="Calibri"/>
                <w:sz w:val="22"/>
              </w:rPr>
              <w:t>Up 3–6% over 2025's $4.6B base (~$4.74B–$4.88B)</w:t>
            </w:r>
          </w:p>
        </w:tc>
        <w:tc>
          <w:tcPr>
            <w:tcW w:type="dxa" w:w="1728"/>
          </w:tcPr>
          <w:p>
            <w:r>
              <w:rPr>
                <w:rFonts w:ascii="Calibri" w:hAnsi="Calibri"/>
                <w:sz w:val="22"/>
              </w:rPr>
              <w:t>Unchanged</w:t>
            </w:r>
          </w:p>
        </w:tc>
        <w:tc>
          <w:tcPr>
            <w:tcW w:type="dxa" w:w="1728"/>
          </w:tcPr>
          <w:p>
            <w:r>
              <w:rPr>
                <w:rFonts w:ascii="Calibri" w:hAnsi="Calibri"/>
                <w:sz w:val="22"/>
              </w:rPr>
              <w:t>~$4.82B (mid-range)</w:t>
            </w:r>
          </w:p>
        </w:tc>
        <w:tc>
          <w:tcPr>
            <w:tcW w:type="dxa" w:w="1728"/>
          </w:tcPr>
          <w:p>
            <w:r>
              <w:rPr>
                <w:rFonts w:ascii="Calibri" w:hAnsi="Calibri"/>
                <w:sz w:val="22"/>
              </w:rPr>
              <w:t>Mgmt noted forecast "comfortably within range" despite market volatility; Q1 tailwinds from expense management expected to be absorbed as year progresses</w:t>
            </w:r>
          </w:p>
        </w:tc>
      </w:tr>
      <w:tr>
        <w:tc>
          <w:tcPr>
            <w:tcW w:type="dxa" w:w="1728"/>
          </w:tcPr>
          <w:p>
            <w:r>
              <w:rPr>
                <w:rFonts w:ascii="Calibri" w:hAnsi="Calibri"/>
                <w:sz w:val="22"/>
              </w:rPr>
              <w:t>AUM Flows Outlook</w:t>
            </w:r>
          </w:p>
        </w:tc>
        <w:tc>
          <w:tcPr>
            <w:tcW w:type="dxa" w:w="1728"/>
          </w:tcPr>
          <w:p>
            <w:r>
              <w:rPr>
                <w:rFonts w:ascii="Calibri" w:hAnsi="Calibri"/>
                <w:sz w:val="22"/>
              </w:rPr>
              <w:t>Continued pressure in equities; multi-asset, fixed income, and alternatives expected to deliver positive flows</w:t>
            </w:r>
          </w:p>
        </w:tc>
        <w:tc>
          <w:tcPr>
            <w:tcW w:type="dxa" w:w="1728"/>
          </w:tcPr>
          <w:p>
            <w:r>
              <w:rPr>
                <w:rFonts w:ascii="Calibri" w:hAnsi="Calibri"/>
                <w:sz w:val="22"/>
              </w:rPr>
              <w:t>Unchanged</w:t>
            </w:r>
          </w:p>
        </w:tc>
        <w:tc>
          <w:tcPr>
            <w:tcW w:type="dxa" w:w="1728"/>
          </w:tcPr>
          <w:p>
            <w:r>
              <w:rPr>
                <w:rFonts w:ascii="Calibri" w:hAnsi="Calibri"/>
                <w:sz w:val="22"/>
              </w:rPr>
              <w:t>FY2026 net flows: -$51.6B consensus</w:t>
            </w:r>
          </w:p>
        </w:tc>
        <w:tc>
          <w:tcPr>
            <w:tcW w:type="dxa" w:w="1728"/>
          </w:tcPr>
          <w:p>
            <w:r>
              <w:rPr>
                <w:rFonts w:ascii="Calibri" w:hAnsi="Calibri"/>
                <w:sz w:val="22"/>
              </w:rPr>
              <w:t>June AUM release showed Q2 net outflows of $6.5B — better than consensus of -$8.2B; June had $0.8B net inflow including large subadvised equity inflow</w:t>
            </w:r>
          </w:p>
        </w:tc>
      </w:tr>
      <w:tr>
        <w:tc>
          <w:tcPr>
            <w:tcW w:type="dxa" w:w="1728"/>
          </w:tcPr>
          <w:p>
            <w:r>
              <w:rPr>
                <w:rFonts w:ascii="Calibri" w:hAnsi="Calibri"/>
                <w:sz w:val="22"/>
              </w:rPr>
              <w:t>Effective Fee Rate</w:t>
            </w:r>
          </w:p>
        </w:tc>
        <w:tc>
          <w:tcPr>
            <w:tcW w:type="dxa" w:w="1728"/>
          </w:tcPr>
          <w:p>
            <w:r>
              <w:rPr>
                <w:rFonts w:ascii="Calibri" w:hAnsi="Calibri"/>
                <w:sz w:val="22"/>
              </w:rPr>
              <w:t>Continued compression expected; driven by Target Date blend growth and equity outflows</w:t>
            </w:r>
          </w:p>
        </w:tc>
        <w:tc>
          <w:tcPr>
            <w:tcW w:type="dxa" w:w="1728"/>
          </w:tcPr>
          <w:p>
            <w:r>
              <w:rPr>
                <w:rFonts w:ascii="Calibri" w:hAnsi="Calibri"/>
                <w:sz w:val="22"/>
              </w:rPr>
              <w:t>Unchanged</w:t>
            </w:r>
          </w:p>
        </w:tc>
        <w:tc>
          <w:tcPr>
            <w:tcW w:type="dxa" w:w="1728"/>
          </w:tcPr>
          <w:p>
            <w:r>
              <w:rPr>
                <w:rFonts w:ascii="Calibri" w:hAnsi="Calibri"/>
                <w:sz w:val="22"/>
              </w:rPr>
              <w:t>38.2 bps (Q2 2026 consensus)</w:t>
            </w:r>
          </w:p>
        </w:tc>
        <w:tc>
          <w:tcPr>
            <w:tcW w:type="dxa" w:w="1728"/>
          </w:tcPr>
          <w:p>
            <w:r>
              <w:rPr>
                <w:rFonts w:ascii="Calibri" w:hAnsi="Calibri"/>
                <w:sz w:val="22"/>
              </w:rPr>
              <w:t>Structural headwind from mix shift to lower-fee vehicles and blend Target Date products; no guidance to stabilization</w:t>
            </w:r>
          </w:p>
        </w:tc>
      </w:tr>
      <w:tr>
        <w:tc>
          <w:tcPr>
            <w:tcW w:type="dxa" w:w="1728"/>
          </w:tcPr>
          <w:p>
            <w:r>
              <w:rPr>
                <w:rFonts w:ascii="Calibri" w:hAnsi="Calibri"/>
                <w:sz w:val="22"/>
              </w:rPr>
              <w:t>Strategic Partnerships (Goldman Sachs, FAB)</w:t>
            </w:r>
          </w:p>
        </w:tc>
        <w:tc>
          <w:tcPr>
            <w:tcW w:type="dxa" w:w="1728"/>
          </w:tcPr>
          <w:p>
            <w:r>
              <w:rPr>
                <w:rFonts w:ascii="Calibri" w:hAnsi="Calibri"/>
                <w:sz w:val="22"/>
              </w:rPr>
              <w:t>Goldman: interval fund + Target Date sister series launch targeted mid-2026; FAB: targeted mid-2026 launch</w:t>
            </w:r>
          </w:p>
        </w:tc>
        <w:tc>
          <w:tcPr>
            <w:tcW w:type="dxa" w:w="1728"/>
          </w:tcPr>
          <w:p>
            <w:r>
              <w:rPr>
                <w:rFonts w:ascii="Calibri" w:hAnsi="Calibri"/>
                <w:sz w:val="22"/>
              </w:rPr>
              <w:t>Unchanged</w:t>
            </w:r>
          </w:p>
        </w:tc>
        <w:tc>
          <w:tcPr>
            <w:tcW w:type="dxa" w:w="1728"/>
          </w:tcPr>
          <w:p>
            <w:r>
              <w:rPr>
                <w:rFonts w:ascii="Calibri" w:hAnsi="Calibri"/>
                <w:sz w:val="22"/>
              </w:rPr>
              <w:t>N/A</w:t>
            </w:r>
          </w:p>
        </w:tc>
        <w:tc>
          <w:tcPr>
            <w:tcW w:type="dxa" w:w="1728"/>
          </w:tcPr>
          <w:p>
            <w:r>
              <w:rPr>
                <w:rFonts w:ascii="Calibri" w:hAnsi="Calibri"/>
                <w:sz w:val="22"/>
              </w:rPr>
              <w:t>Both partnerships in execution phase; OHA CEO joined Q1 call for first time, signaling elevated strategic priority for alternatives</w:t>
            </w:r>
          </w:p>
        </w:tc>
      </w:tr>
      <w:tr>
        <w:tc>
          <w:tcPr>
            <w:tcW w:type="dxa" w:w="1728"/>
          </w:tcPr>
          <w:p>
            <w:r>
              <w:rPr>
                <w:rFonts w:ascii="Calibri" w:hAnsi="Calibri"/>
                <w:sz w:val="22"/>
              </w:rPr>
              <w:t>Capital Allocation / Buybacks</w:t>
            </w:r>
          </w:p>
        </w:tc>
        <w:tc>
          <w:tcPr>
            <w:tcW w:type="dxa" w:w="1728"/>
          </w:tcPr>
          <w:p>
            <w:r>
              <w:rPr>
                <w:rFonts w:ascii="Calibri" w:hAnsi="Calibri"/>
                <w:sz w:val="22"/>
              </w:rPr>
              <w:t>Opportunistic and selective; $340M repurchased in Q1 at elevated pace; balance sheet &gt;$4.1B cash</w:t>
            </w:r>
          </w:p>
        </w:tc>
        <w:tc>
          <w:tcPr>
            <w:tcW w:type="dxa" w:w="1728"/>
          </w:tcPr>
          <w:p>
            <w:r>
              <w:rPr>
                <w:rFonts w:ascii="Calibri" w:hAnsi="Calibri"/>
                <w:sz w:val="22"/>
              </w:rPr>
              <w:t>Unchanged</w:t>
            </w:r>
          </w:p>
        </w:tc>
        <w:tc>
          <w:tcPr>
            <w:tcW w:type="dxa" w:w="1728"/>
          </w:tcPr>
          <w:p>
            <w:r>
              <w:rPr>
                <w:rFonts w:ascii="Calibri" w:hAnsi="Calibri"/>
                <w:sz w:val="22"/>
              </w:rPr>
              <w:t>N/A</w:t>
            </w:r>
          </w:p>
        </w:tc>
        <w:tc>
          <w:tcPr>
            <w:tcW w:type="dxa" w:w="1728"/>
          </w:tcPr>
          <w:p>
            <w:r>
              <w:rPr>
                <w:rFonts w:ascii="Calibri" w:hAnsi="Calibri"/>
                <w:sz w:val="22"/>
              </w:rPr>
              <w:t>Management explicitly framed accelerated buybacks as reflecting value seen in share price; M&amp;A remains an active option</w:t>
            </w:r>
          </w:p>
        </w:tc>
      </w:tr>
    </w:tbl>
    <w:p>
      <w:pPr>
        <w:pStyle w:val="Heading2"/>
      </w:pPr>
      <w:r>
        <w:rPr>
          <w:rFonts w:ascii="Calibri" w:hAnsi="Calibri"/>
          <w:b/>
          <w:color w:val="3B4259"/>
          <w:sz w:val="28"/>
        </w:rPr>
        <w:t>Guidance vs. Estimate Revision Tracker</w:t>
      </w:r>
    </w:p>
    <w:p>
      <w:r>
        <w:rPr>
          <w:rFonts w:ascii="Calibri" w:hAnsi="Calibri"/>
          <w:b/>
          <w:color w:val="525866"/>
          <w:sz w:val="22"/>
        </w:rPr>
        <w:t xml:space="preserve">Key Takeaway: </w:t>
      </w:r>
      <w:r>
        <w:rPr>
          <w:rFonts w:ascii="Calibri" w:hAnsi="Calibri"/>
          <w:color w:val="525866"/>
          <w:sz w:val="22"/>
        </w:rPr>
        <w:t>Estimates for Q2 2026 have moved materially higher since the Q1 print — EPS consensus is up ~12% and revenue up ~4.4% — driven by the strong AUM recovery from Q1 market lows; the gap between current consensus and the post-Q1 baseline is almost entirely market-driven, not flow-driven, which limits the durability of the revision tailwind.</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Q1 Print, ~May 5, 2026)</w:t>
            </w:r>
          </w:p>
        </w:tc>
        <w:tc>
          <w:tcPr>
            <w:tcW w:type="dxa" w:w="1080"/>
            <w:shd w:val="clear" w:color="auto" w:fill="3B4259"/>
          </w:tcPr>
          <w:p>
            <w:r>
              <w:rPr>
                <w:rFonts w:ascii="Calibri" w:hAnsi="Calibri"/>
                <w:b/>
                <w:color w:val="FFFFFF"/>
                <w:sz w:val="22"/>
              </w:rPr>
              <w:t>Current Consensus</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 vs. Guidance (%)</w:t>
            </w:r>
          </w:p>
        </w:tc>
      </w:tr>
      <w:tr>
        <w:tc>
          <w:tcPr>
            <w:tcW w:type="dxa" w:w="1080"/>
          </w:tcPr>
          <w:p>
            <w:r>
              <w:rPr>
                <w:rFonts w:ascii="Calibri" w:hAnsi="Calibri"/>
                <w:sz w:val="22"/>
              </w:rPr>
              <w:t>EPS — Diluted Operating (Q2 2026)</w:t>
            </w:r>
          </w:p>
        </w:tc>
        <w:tc>
          <w:tcPr>
            <w:tcW w:type="dxa" w:w="1080"/>
          </w:tcPr>
          <w:p>
            <w:r>
              <w:rPr>
                <w:rFonts w:ascii="Calibri" w:hAnsi="Calibri"/>
                <w:sz w:val="22"/>
              </w:rPr>
              <w:t>$2.25</w:t>
            </w:r>
          </w:p>
        </w:tc>
        <w:tc>
          <w:tcPr>
            <w:tcW w:type="dxa" w:w="1080"/>
          </w:tcPr>
          <w:p>
            <w:r>
              <w:rPr>
                <w:rFonts w:ascii="Calibri" w:hAnsi="Calibri"/>
                <w:sz w:val="22"/>
              </w:rPr>
              <w:t>$2.52</w:t>
            </w:r>
          </w:p>
        </w:tc>
        <w:tc>
          <w:tcPr>
            <w:tcW w:type="dxa" w:w="1080"/>
          </w:tcPr>
          <w:p>
            <w:r>
              <w:rPr>
                <w:rFonts w:ascii="Calibri" w:hAnsi="Calibri"/>
                <w:b/>
                <w:color w:val="30A46C"/>
                <w:sz w:val="22"/>
              </w:rPr>
              <w:t>+12.0%</w:t>
            </w:r>
          </w:p>
        </w:tc>
        <w:tc>
          <w:tcPr>
            <w:tcW w:type="dxa" w:w="1080"/>
          </w:tcPr>
          <w:p>
            <w:r>
              <w:rPr>
                <w:rFonts w:ascii="Calibri" w:hAnsi="Calibri"/>
                <w:sz w:val="22"/>
              </w:rPr>
              <w:t>No explicit guidance</w:t>
            </w:r>
          </w:p>
        </w:tc>
        <w:tc>
          <w:tcPr>
            <w:tcW w:type="dxa" w:w="1080"/>
          </w:tcPr>
          <w:p>
            <w:r>
              <w:rPr>
                <w:rFonts w:ascii="Calibri" w:hAnsi="Calibri"/>
                <w:sz w:val="22"/>
              </w:rPr>
              <w:t>No explicit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EPS — Diluted Operating (FY2026)</w:t>
            </w:r>
          </w:p>
        </w:tc>
        <w:tc>
          <w:tcPr>
            <w:tcW w:type="dxa" w:w="1080"/>
          </w:tcPr>
          <w:p>
            <w:r>
              <w:rPr>
                <w:rFonts w:ascii="Calibri" w:hAnsi="Calibri"/>
                <w:sz w:val="22"/>
              </w:rPr>
              <w:t>$9.34</w:t>
            </w:r>
          </w:p>
        </w:tc>
        <w:tc>
          <w:tcPr>
            <w:tcW w:type="dxa" w:w="1080"/>
          </w:tcPr>
          <w:p>
            <w:r>
              <w:rPr>
                <w:rFonts w:ascii="Calibri" w:hAnsi="Calibri"/>
                <w:sz w:val="22"/>
              </w:rPr>
              <w:t>$10.20</w:t>
            </w:r>
          </w:p>
        </w:tc>
        <w:tc>
          <w:tcPr>
            <w:tcW w:type="dxa" w:w="1080"/>
          </w:tcPr>
          <w:p>
            <w:r>
              <w:rPr>
                <w:rFonts w:ascii="Calibri" w:hAnsi="Calibri"/>
                <w:b/>
                <w:color w:val="30A46C"/>
                <w:sz w:val="22"/>
              </w:rPr>
              <w:t>+9.2%</w:t>
            </w:r>
          </w:p>
        </w:tc>
        <w:tc>
          <w:tcPr>
            <w:tcW w:type="dxa" w:w="1080"/>
          </w:tcPr>
          <w:p>
            <w:r>
              <w:rPr>
                <w:rFonts w:ascii="Calibri" w:hAnsi="Calibri"/>
                <w:sz w:val="22"/>
              </w:rPr>
              <w:t>No explicit guidance</w:t>
            </w:r>
          </w:p>
        </w:tc>
        <w:tc>
          <w:tcPr>
            <w:tcW w:type="dxa" w:w="1080"/>
          </w:tcPr>
          <w:p>
            <w:r>
              <w:rPr>
                <w:rFonts w:ascii="Calibri" w:hAnsi="Calibri"/>
                <w:sz w:val="22"/>
              </w:rPr>
              <w:t>No explicit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Net Revenues — Operating (Q2 2026)</w:t>
            </w:r>
          </w:p>
        </w:tc>
        <w:tc>
          <w:tcPr>
            <w:tcW w:type="dxa" w:w="1080"/>
          </w:tcPr>
          <w:p>
            <w:r>
              <w:rPr>
                <w:rFonts w:ascii="Calibri" w:hAnsi="Calibri"/>
                <w:sz w:val="22"/>
              </w:rPr>
              <w:t>$1.848B</w:t>
            </w:r>
          </w:p>
        </w:tc>
        <w:tc>
          <w:tcPr>
            <w:tcW w:type="dxa" w:w="1080"/>
          </w:tcPr>
          <w:p>
            <w:r>
              <w:rPr>
                <w:rFonts w:ascii="Calibri" w:hAnsi="Calibri"/>
                <w:sz w:val="22"/>
              </w:rPr>
              <w:t>$1.930B</w:t>
            </w:r>
          </w:p>
        </w:tc>
        <w:tc>
          <w:tcPr>
            <w:tcW w:type="dxa" w:w="1080"/>
          </w:tcPr>
          <w:p>
            <w:r>
              <w:rPr>
                <w:rFonts w:ascii="Calibri" w:hAnsi="Calibri"/>
                <w:b/>
                <w:color w:val="30A46C"/>
                <w:sz w:val="22"/>
              </w:rPr>
              <w:t>+4.4%</w:t>
            </w:r>
          </w:p>
        </w:tc>
        <w:tc>
          <w:tcPr>
            <w:tcW w:type="dxa" w:w="1080"/>
          </w:tcPr>
          <w:p>
            <w:r>
              <w:rPr>
                <w:rFonts w:ascii="Calibri" w:hAnsi="Calibri"/>
                <w:sz w:val="22"/>
              </w:rPr>
              <w:t>No explicit guidance</w:t>
            </w:r>
          </w:p>
        </w:tc>
        <w:tc>
          <w:tcPr>
            <w:tcW w:type="dxa" w:w="1080"/>
          </w:tcPr>
          <w:p>
            <w:r>
              <w:rPr>
                <w:rFonts w:ascii="Calibri" w:hAnsi="Calibri"/>
                <w:sz w:val="22"/>
              </w:rPr>
              <w:t>No explicit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Net Revenues — Operating (FY2026)</w:t>
            </w:r>
          </w:p>
        </w:tc>
        <w:tc>
          <w:tcPr>
            <w:tcW w:type="dxa" w:w="1080"/>
          </w:tcPr>
          <w:p>
            <w:r>
              <w:rPr>
                <w:rFonts w:ascii="Calibri" w:hAnsi="Calibri"/>
                <w:sz w:val="22"/>
              </w:rPr>
              <w:t>$7.493B</w:t>
            </w:r>
          </w:p>
        </w:tc>
        <w:tc>
          <w:tcPr>
            <w:tcW w:type="dxa" w:w="1080"/>
          </w:tcPr>
          <w:p>
            <w:r>
              <w:rPr>
                <w:rFonts w:ascii="Calibri" w:hAnsi="Calibri"/>
                <w:sz w:val="22"/>
              </w:rPr>
              <w:t>$7.820B</w:t>
            </w:r>
          </w:p>
        </w:tc>
        <w:tc>
          <w:tcPr>
            <w:tcW w:type="dxa" w:w="1080"/>
          </w:tcPr>
          <w:p>
            <w:r>
              <w:rPr>
                <w:rFonts w:ascii="Calibri" w:hAnsi="Calibri"/>
                <w:b/>
                <w:color w:val="30A46C"/>
                <w:sz w:val="22"/>
              </w:rPr>
              <w:t>+4.4%</w:t>
            </w:r>
          </w:p>
        </w:tc>
        <w:tc>
          <w:tcPr>
            <w:tcW w:type="dxa" w:w="1080"/>
          </w:tcPr>
          <w:p>
            <w:r>
              <w:rPr>
                <w:rFonts w:ascii="Calibri" w:hAnsi="Calibri"/>
                <w:sz w:val="22"/>
              </w:rPr>
              <w:t>No explicit guidance</w:t>
            </w:r>
          </w:p>
        </w:tc>
        <w:tc>
          <w:tcPr>
            <w:tcW w:type="dxa" w:w="1080"/>
          </w:tcPr>
          <w:p>
            <w:r>
              <w:rPr>
                <w:rFonts w:ascii="Calibri" w:hAnsi="Calibri"/>
                <w:sz w:val="22"/>
              </w:rPr>
              <w:t>No explicit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Total EOP AUM (Q2 2026)</w:t>
            </w:r>
          </w:p>
        </w:tc>
        <w:tc>
          <w:tcPr>
            <w:tcW w:type="dxa" w:w="1080"/>
          </w:tcPr>
          <w:p>
            <w:r>
              <w:rPr>
                <w:rFonts w:ascii="Calibri" w:hAnsi="Calibri"/>
                <w:sz w:val="22"/>
              </w:rPr>
              <w:t>$1.774T</w:t>
            </w:r>
          </w:p>
        </w:tc>
        <w:tc>
          <w:tcPr>
            <w:tcW w:type="dxa" w:w="1080"/>
          </w:tcPr>
          <w:p>
            <w:r>
              <w:rPr>
                <w:rFonts w:ascii="Calibri" w:hAnsi="Calibri"/>
                <w:sz w:val="22"/>
              </w:rPr>
              <w:t>$1.889T</w:t>
            </w:r>
          </w:p>
        </w:tc>
        <w:tc>
          <w:tcPr>
            <w:tcW w:type="dxa" w:w="1080"/>
          </w:tcPr>
          <w:p>
            <w:r>
              <w:rPr>
                <w:rFonts w:ascii="Calibri" w:hAnsi="Calibri"/>
                <w:b/>
                <w:color w:val="30A46C"/>
                <w:sz w:val="22"/>
              </w:rPr>
              <w:t>+6.5%</w:t>
            </w:r>
          </w:p>
        </w:tc>
        <w:tc>
          <w:tcPr>
            <w:tcW w:type="dxa" w:w="1080"/>
          </w:tcPr>
          <w:p>
            <w:r>
              <w:rPr>
                <w:rFonts w:ascii="Calibri" w:hAnsi="Calibri"/>
                <w:sz w:val="22"/>
              </w:rPr>
              <w:t>No explicit guidance</w:t>
            </w:r>
          </w:p>
        </w:tc>
        <w:tc>
          <w:tcPr>
            <w:tcW w:type="dxa" w:w="1080"/>
          </w:tcPr>
          <w:p>
            <w:r>
              <w:rPr>
                <w:rFonts w:ascii="Calibri" w:hAnsi="Calibri"/>
                <w:sz w:val="22"/>
              </w:rPr>
              <w:t>No explicit guidance</w:t>
            </w:r>
          </w:p>
        </w:tc>
        <w:tc>
          <w:tcPr>
            <w:tcW w:type="dxa" w:w="1080"/>
          </w:tcPr>
          <w:p>
            <w:r>
              <w:rPr>
                <w:rFonts w:ascii="Calibri" w:hAnsi="Calibri"/>
                <w:sz w:val="22"/>
              </w:rPr>
              <w:t>N/A</w:t>
            </w:r>
          </w:p>
        </w:tc>
        <w:tc>
          <w:tcPr>
            <w:tcW w:type="dxa" w:w="1080"/>
          </w:tcPr>
          <w:p>
            <w:r>
              <w:rPr>
                <w:rFonts w:ascii="Calibri" w:hAnsi="Calibri"/>
                <w:sz w:val="22"/>
              </w:rPr>
              <w:t>N/A (actual: $1.893T)</w:t>
            </w:r>
          </w:p>
        </w:tc>
      </w:tr>
      <w:tr>
        <w:tc>
          <w:tcPr>
            <w:tcW w:type="dxa" w:w="1080"/>
          </w:tcPr>
          <w:p>
            <w:r>
              <w:rPr>
                <w:rFonts w:ascii="Calibri" w:hAnsi="Calibri"/>
                <w:sz w:val="22"/>
              </w:rPr>
              <w:t>Net Flows — Total (Q2 2026)</w:t>
            </w:r>
          </w:p>
        </w:tc>
        <w:tc>
          <w:tcPr>
            <w:tcW w:type="dxa" w:w="1080"/>
          </w:tcPr>
          <w:p>
            <w:r>
              <w:rPr>
                <w:rFonts w:ascii="Calibri" w:hAnsi="Calibri"/>
                <w:sz w:val="22"/>
              </w:rPr>
              <w:t>-$12.9B</w:t>
            </w:r>
          </w:p>
        </w:tc>
        <w:tc>
          <w:tcPr>
            <w:tcW w:type="dxa" w:w="1080"/>
          </w:tcPr>
          <w:p>
            <w:r>
              <w:rPr>
                <w:rFonts w:ascii="Calibri" w:hAnsi="Calibri"/>
                <w:sz w:val="22"/>
              </w:rPr>
              <w:t>-$8.2B</w:t>
            </w:r>
          </w:p>
        </w:tc>
        <w:tc>
          <w:tcPr>
            <w:tcW w:type="dxa" w:w="1080"/>
          </w:tcPr>
          <w:p>
            <w:r>
              <w:rPr>
                <w:rFonts w:ascii="Calibri" w:hAnsi="Calibri"/>
                <w:b/>
                <w:color w:val="30A46C"/>
                <w:sz w:val="22"/>
              </w:rPr>
              <w:t>+36.4% (better)</w:t>
            </w:r>
          </w:p>
        </w:tc>
        <w:tc>
          <w:tcPr>
            <w:tcW w:type="dxa" w:w="1080"/>
          </w:tcPr>
          <w:p>
            <w:r>
              <w:rPr>
                <w:rFonts w:ascii="Calibri" w:hAnsi="Calibri"/>
                <w:sz w:val="22"/>
              </w:rPr>
              <w:t>No explicit guidance</w:t>
            </w:r>
          </w:p>
        </w:tc>
        <w:tc>
          <w:tcPr>
            <w:tcW w:type="dxa" w:w="1080"/>
          </w:tcPr>
          <w:p>
            <w:r>
              <w:rPr>
                <w:rFonts w:ascii="Calibri" w:hAnsi="Calibri"/>
                <w:sz w:val="22"/>
              </w:rPr>
              <w:t>No explicit guidance</w:t>
            </w:r>
          </w:p>
        </w:tc>
        <w:tc>
          <w:tcPr>
            <w:tcW w:type="dxa" w:w="1080"/>
          </w:tcPr>
          <w:p>
            <w:r>
              <w:rPr>
                <w:rFonts w:ascii="Calibri" w:hAnsi="Calibri"/>
                <w:sz w:val="22"/>
              </w:rPr>
              <w:t>N/A</w:t>
            </w:r>
          </w:p>
        </w:tc>
        <w:tc>
          <w:tcPr>
            <w:tcW w:type="dxa" w:w="1080"/>
          </w:tcPr>
          <w:p>
            <w:r>
              <w:rPr>
                <w:rFonts w:ascii="Calibri" w:hAnsi="Calibri"/>
                <w:sz w:val="22"/>
              </w:rPr>
              <w:t>N/A (actual: -$6.5B)</w:t>
            </w:r>
          </w:p>
        </w:tc>
      </w:tr>
      <w:tr>
        <w:tc>
          <w:tcPr>
            <w:tcW w:type="dxa" w:w="1080"/>
          </w:tcPr>
          <w:p>
            <w:r>
              <w:rPr>
                <w:rFonts w:ascii="Calibri" w:hAnsi="Calibri"/>
                <w:sz w:val="22"/>
              </w:rPr>
              <w:t>Operating Margin — Operating (Q2 2026)</w:t>
            </w:r>
          </w:p>
        </w:tc>
        <w:tc>
          <w:tcPr>
            <w:tcW w:type="dxa" w:w="1080"/>
          </w:tcPr>
          <w:p>
            <w:r>
              <w:rPr>
                <w:rFonts w:ascii="Calibri" w:hAnsi="Calibri"/>
                <w:sz w:val="22"/>
              </w:rPr>
              <w:t>34.9%</w:t>
            </w:r>
          </w:p>
        </w:tc>
        <w:tc>
          <w:tcPr>
            <w:tcW w:type="dxa" w:w="1080"/>
          </w:tcPr>
          <w:p>
            <w:r>
              <w:rPr>
                <w:rFonts w:ascii="Calibri" w:hAnsi="Calibri"/>
                <w:sz w:val="22"/>
              </w:rPr>
              <w:t>37.1%</w:t>
            </w:r>
          </w:p>
        </w:tc>
        <w:tc>
          <w:tcPr>
            <w:tcW w:type="dxa" w:w="1080"/>
          </w:tcPr>
          <w:p>
            <w:r>
              <w:rPr>
                <w:rFonts w:ascii="Calibri" w:hAnsi="Calibri"/>
                <w:b/>
                <w:color w:val="30A46C"/>
                <w:sz w:val="22"/>
              </w:rPr>
              <w:t>+220 bps</w:t>
            </w:r>
          </w:p>
        </w:tc>
        <w:tc>
          <w:tcPr>
            <w:tcW w:type="dxa" w:w="1080"/>
          </w:tcPr>
          <w:p>
            <w:r>
              <w:rPr>
                <w:rFonts w:ascii="Calibri" w:hAnsi="Calibri"/>
                <w:sz w:val="22"/>
              </w:rPr>
              <w:t>Expenses +3–6% FY (implied)</w:t>
            </w:r>
          </w:p>
        </w:tc>
        <w:tc>
          <w:tcPr>
            <w:tcW w:type="dxa" w:w="1080"/>
          </w:tcPr>
          <w:p>
            <w:r>
              <w:rPr>
                <w:rFonts w:ascii="Calibri" w:hAnsi="Calibri"/>
                <w:sz w:val="22"/>
              </w:rPr>
              <w:t>Unchanged</w:t>
            </w:r>
          </w:p>
        </w:tc>
        <w:tc>
          <w:tcPr>
            <w:tcW w:type="dxa" w:w="1080"/>
          </w:tcPr>
          <w:p>
            <w:r>
              <w:rPr>
                <w:rFonts w:ascii="Calibri" w:hAnsi="Calibri"/>
                <w:sz w:val="22"/>
              </w:rPr>
              <w:t>Unchanged</w:t>
            </w:r>
          </w:p>
        </w:tc>
        <w:tc>
          <w:tcPr>
            <w:tcW w:type="dxa" w:w="1080"/>
          </w:tcPr>
          <w:p>
            <w:r>
              <w:rPr>
                <w:rFonts w:ascii="Calibri" w:hAnsi="Calibri"/>
                <w:sz w:val="22"/>
              </w:rPr>
              <w:t>N/A</w:t>
            </w:r>
          </w:p>
        </w:tc>
      </w:tr>
    </w:tbl>
    <w:p>
      <w:r>
        <w:rPr>
          <w:rFonts w:ascii="Calibri" w:hAnsi="Calibri"/>
          <w:i/>
          <w:color w:val="525866"/>
          <w:sz w:val="22"/>
        </w:rPr>
        <w:t>The ~12% upward revision to Q2 EPS and ~4.4% to revenue since the Q1 print are almost entirely market-driven (AUM up ~11% from Q1 trough to June 30), not flow-driven. The flow estimate has also improved materially (+36%), with the preliminary release confirming Q2 net outflows of -$6.5B vs. the -$8.2B consensus — a meaningful beat. The key question for the call is whether management signals Q3 flow improvement or guides to re-acceleration of outflows. Source: Visible Alpha Consensus and Actuals Data.</w:t>
      </w:r>
    </w:p>
    <w:p>
      <w:r>
        <w:br w:type="page"/>
      </w:r>
    </w:p>
    <w:p>
      <w:pPr>
        <w:pStyle w:val="Heading2"/>
      </w:pPr>
      <w:r>
        <w:rPr>
          <w:rFonts w:ascii="Calibri" w:hAnsi="Calibri"/>
          <w:b/>
          <w:color w:val="3B4259"/>
          <w:sz w:val="28"/>
        </w:rPr>
        <w:t>Stock Performance</w:t>
      </w:r>
    </w:p>
    <w:p>
      <w:r>
        <w:rPr>
          <w:rFonts w:ascii="Calibri" w:hAnsi="Calibri"/>
          <w:b/>
          <w:color w:val="525866"/>
          <w:sz w:val="22"/>
        </w:rPr>
        <w:t xml:space="preserve">Key Takeaway: </w:t>
      </w:r>
      <w:r>
        <w:rPr>
          <w:rFonts w:ascii="Calibri" w:hAnsi="Calibri"/>
          <w:color w:val="525866"/>
          <w:sz w:val="22"/>
        </w:rPr>
        <w:t>TROW has significantly outperformed both the S&amp;P 500 and the IAI (iShares U.S. Broker-Dealers &amp; Securities Exchanges ETF) since the Q1 2026 earnings print, up ~15.9% vs. ~3.2% for SPY and ~5.9% for IAI — the outperformance is driven by a combination of multiple re-rating (from deeply discounted ~9x forward P/E) and positive estimate revisions as markets recovered from Q1 lows, but the stock is no longer cheap and the bar for further outperformance is higher.</w:t>
      </w:r>
    </w:p>
    <w:p>
      <w:r>
        <w:drawing>
          <wp:inline xmlns:a="http://schemas.openxmlformats.org/drawingml/2006/main" xmlns:pic="http://schemas.openxmlformats.org/drawingml/2006/picture">
            <wp:extent cx="4572000" cy="3265714"/>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4572000" cy="3265714"/>
                    </a:xfrm>
                    <a:prstGeom prst="rect"/>
                  </pic:spPr>
                </pic:pic>
              </a:graphicData>
            </a:graphic>
          </wp:inline>
        </w:drawing>
      </w:r>
    </w:p>
    <w:p>
      <w:pPr>
        <w:jc w:val="center"/>
      </w:pPr>
      <w:r>
        <w:rPr>
          <w:i/>
          <w:color w:val="666666"/>
          <w:sz w:val="18"/>
        </w:rPr>
        <w:t>TROW vs. IAI vs. S&amp;P 500 — Indexed to 100 at Q1 2026 Earnings (April 30, 2026). Source: Stock Price Data (Yahoo Finance). Sector ETF: IAI (iShares U.S. Broker-Dealers &amp; Securities Exchanges ETF), selected as the closest available proxy for the asset management sub-sector.</w:t>
      </w:r>
    </w:p>
    <w:p>
      <w:r>
        <w:rPr>
          <w:rFonts w:ascii="Calibri" w:hAnsi="Calibri"/>
          <w:color w:val="525866"/>
          <w:sz w:val="22"/>
        </w:rPr>
        <w:t xml:space="preserve">Since the Q1 2026 earnings print on April 30, TROW has rallied from $102.88 to $119.28 (as of July 30, 2026), a gain of approximately </w:t>
      </w:r>
      <w:r>
        <w:rPr>
          <w:rFonts w:ascii="Calibri" w:hAnsi="Calibri"/>
          <w:b/>
          <w:color w:val="525866"/>
          <w:sz w:val="22"/>
        </w:rPr>
        <w:t>+15.9%</w:t>
      </w:r>
      <w:r>
        <w:rPr>
          <w:rFonts w:ascii="Calibri" w:hAnsi="Calibri"/>
          <w:color w:val="525866"/>
          <w:sz w:val="22"/>
        </w:rPr>
        <w:t>, compared to +3.2% for the S&amp;P 500 (SPY) and +5.9% for the IAI. The outperformance is attributable to three factors: (1) the Q1 EPS beat driven by lower expenses and a lower tax rate, which reset the earnings trajectory higher; (2) a strong market recovery from Q1 lows that drove AUM well above consensus by quarter-end; and (3) multiple re-rating from a deeply discounted ~9x forward P/E as investors gained confidence in the expense management story and OHA/alternatives growth. A notable pullback occurred around July 13 (the AUM press release date), likely reflecting profit-taking after the stock had already priced in the AUM beat. The stock has since recovered, trading at approximately $119 heading into the print. At current levels, TROW trades at roughly 11–12x forward P/E — still below historical mid-teens averages but no longer at the trough discount, suggesting the easy multiple re-rating trade is largely done and the next leg of outperformance requires evidence of structural flow improvement.</w:t>
      </w:r>
    </w:p>
    <w:p>
      <w:pPr>
        <w:pStyle w:val="Heading2"/>
      </w:pPr>
      <w:r>
        <w:rPr>
          <w:rFonts w:ascii="Calibri" w:hAnsi="Calibri"/>
          <w:b/>
          <w:color w:val="3B4259"/>
          <w:sz w:val="28"/>
        </w:rPr>
        <w:t>Material News &amp; Developments</w:t>
      </w:r>
    </w:p>
    <w:p>
      <w:r>
        <w:rPr>
          <w:rFonts w:ascii="Calibri" w:hAnsi="Calibri"/>
          <w:b/>
          <w:color w:val="525866"/>
          <w:sz w:val="22"/>
        </w:rPr>
        <w:t xml:space="preserve">Key Takeaway: </w:t>
      </w:r>
      <w:r>
        <w:rPr>
          <w:rFonts w:ascii="Calibri" w:hAnsi="Calibri"/>
          <w:color w:val="525866"/>
          <w:sz w:val="22"/>
        </w:rPr>
        <w:t>The most important development since Q1 earnings is the June AUM release confirming Q2 net outflows of -$6.5B — materially better than consensus and the best quarterly flow result in several quarters — which sets a constructive tone heading into the print; the leadership restructuring (Eric Veiel named President) is a secondary but strategically meaningful signal.</w:t>
      </w:r>
    </w:p>
    <w:p>
      <w:pPr>
        <w:pStyle w:val="ListBullet"/>
        <w:ind w:left="360" w:hanging="360"/>
      </w:pPr>
      <w:r>
        <w:rPr>
          <w:rFonts w:ascii="Calibri" w:hAnsi="Calibri"/>
          <w:b/>
          <w:color w:val="525866"/>
          <w:sz w:val="22"/>
        </w:rPr>
        <w:t>July 13, 2026 — June 2026 AUM Press Release:</w:t>
      </w:r>
      <w:r>
        <w:rPr>
          <w:rFonts w:ascii="Calibri" w:hAnsi="Calibri"/>
          <w:color w:val="525866"/>
          <w:sz w:val="22"/>
        </w:rPr>
        <w:t xml:space="preserve"> T. Rowe Price reported total AUM of $1.893T as of June 30, 2026, up from $1.710T at March 31 and $1.776T at December 31, 2025. Q2 net outflows of -$6.5B were significantly better than the consensus estimate of -$8.2B and the Q1 outflow of -$13.7B. June alone saw net inflows of +$0.8B, including a large subadvised equity inflow. </w:t>
      </w:r>
      <w:r>
        <w:rPr>
          <w:rFonts w:ascii="Calibri" w:hAnsi="Calibri"/>
          <w:b/>
          <w:color w:val="525866"/>
          <w:sz w:val="22"/>
        </w:rPr>
        <w:t>Implication:</w:t>
      </w:r>
      <w:r>
        <w:rPr>
          <w:rFonts w:ascii="Calibri" w:hAnsi="Calibri"/>
          <w:color w:val="525866"/>
          <w:sz w:val="22"/>
        </w:rPr>
        <w:t xml:space="preserve"> Confirms a meaningful sequential improvement in flows and sets a positive tone for the Q2 print; the subadvised equity inflow is a potential signal of institutional demand returning to active equity strategies.</w:t>
      </w:r>
    </w:p>
    <w:p>
      <w:pPr>
        <w:pStyle w:val="ListBullet"/>
        <w:ind w:left="360" w:hanging="360"/>
      </w:pPr>
      <w:r>
        <w:rPr>
          <w:rFonts w:ascii="Calibri" w:hAnsi="Calibri"/>
          <w:b/>
          <w:color w:val="525866"/>
          <w:sz w:val="22"/>
        </w:rPr>
        <w:t>May 18, 2026 — Leadership Restructuring (8-K):</w:t>
      </w:r>
      <w:r>
        <w:rPr>
          <w:rFonts w:ascii="Calibri" w:hAnsi="Calibri"/>
          <w:color w:val="525866"/>
          <w:sz w:val="22"/>
        </w:rPr>
        <w:t xml:space="preserve"> T. Rowe Price announced Eric Veiel named President effective June 1, 2026, with an emphasis on technology adoption and operational efficiency. Sébastien Page became co-head of Global Investments and CIO alongside Veiel. Wyatt Lee to become head of Global Multi-Asset effective October 1. </w:t>
      </w:r>
      <w:r>
        <w:rPr>
          <w:rFonts w:ascii="Calibri" w:hAnsi="Calibri"/>
          <w:b/>
          <w:color w:val="525866"/>
          <w:sz w:val="22"/>
        </w:rPr>
        <w:t>Implication:</w:t>
      </w:r>
      <w:r>
        <w:rPr>
          <w:rFonts w:ascii="Calibri" w:hAnsi="Calibri"/>
          <w:color w:val="525866"/>
          <w:sz w:val="22"/>
        </w:rPr>
        <w:t xml:space="preserve"> Signals a more deliberate push toward innovation and efficiency; Veiel's dual role as President and CIO is unusual and suggests the firm is prioritizing investment excellence alongside operational transformation. The leadership change could be a catalyst for accelerated strategic execution.</w:t>
      </w:r>
    </w:p>
    <w:p>
      <w:pPr>
        <w:pStyle w:val="ListBullet"/>
        <w:ind w:left="360" w:hanging="360"/>
      </w:pPr>
      <w:r>
        <w:rPr>
          <w:rFonts w:ascii="Calibri" w:hAnsi="Calibri"/>
          <w:b/>
          <w:color w:val="525866"/>
          <w:sz w:val="22"/>
        </w:rPr>
        <w:t>April 30, 2026 — Q1 2026 Earnings Call:</w:t>
      </w:r>
      <w:r>
        <w:rPr>
          <w:rFonts w:ascii="Calibri" w:hAnsi="Calibri"/>
          <w:color w:val="525866"/>
          <w:sz w:val="22"/>
        </w:rPr>
        <w:t xml:space="preserve"> OHA CEO Glenn August joined the call for the first time, highlighting $112B AUM (up from ~$88B at year-end 2024), record fundraising, $30B+ dry powder, and strong institutional demand during market volatility. ETF AUM surpassed $25B. Goldman Sachs collaboration advancing with interval fund and Target Date sister series targeted for mid-2026 launch. First Abu Dhabi Bank partnership moving into execution with mid-2026 launch targeted. </w:t>
      </w:r>
      <w:r>
        <w:rPr>
          <w:rFonts w:ascii="Calibri" w:hAnsi="Calibri"/>
          <w:b/>
          <w:color w:val="525866"/>
          <w:sz w:val="22"/>
        </w:rPr>
        <w:t>Implication:</w:t>
      </w:r>
      <w:r>
        <w:rPr>
          <w:rFonts w:ascii="Calibri" w:hAnsi="Calibri"/>
          <w:color w:val="525866"/>
          <w:sz w:val="22"/>
        </w:rPr>
        <w:t xml:space="preserve"> OHA's elevated profile on the call signals alternatives is becoming a core, not peripheral, growth driver; mid-2026 product launches from Goldman partnership could generate incremental flow data points on the Q2 call.</w:t>
      </w:r>
    </w:p>
    <w:p>
      <w:pPr>
        <w:pStyle w:val="ListBullet"/>
        <w:ind w:left="360" w:hanging="360"/>
      </w:pPr>
      <w:r>
        <w:rPr>
          <w:rFonts w:ascii="Calibri" w:hAnsi="Calibri"/>
          <w:b/>
          <w:color w:val="525866"/>
          <w:sz w:val="22"/>
        </w:rPr>
        <w:t>April 30, 2026 — Dividend Increase:</w:t>
      </w:r>
      <w:r>
        <w:rPr>
          <w:rFonts w:ascii="Calibri" w:hAnsi="Calibri"/>
          <w:color w:val="525866"/>
          <w:sz w:val="22"/>
        </w:rPr>
        <w:t xml:space="preserve"> T. Rowe Price raised its quarterly dividend for the 40th consecutive year, reinforcing its commitment to capital returns. </w:t>
      </w:r>
      <w:r>
        <w:rPr>
          <w:rFonts w:ascii="Calibri" w:hAnsi="Calibri"/>
          <w:b/>
          <w:color w:val="525866"/>
          <w:sz w:val="22"/>
        </w:rPr>
        <w:t>Implication:</w:t>
      </w:r>
      <w:r>
        <w:rPr>
          <w:rFonts w:ascii="Calibri" w:hAnsi="Calibri"/>
          <w:color w:val="525866"/>
          <w:sz w:val="22"/>
        </w:rPr>
        <w:t xml:space="preserve"> Demonstrates financial strength and management confidence in earnings durability despite flow headwinds.</w:t>
      </w:r>
    </w:p>
    <w:p>
      <w:pPr>
        <w:pStyle w:val="ListBullet"/>
        <w:ind w:left="360" w:hanging="360"/>
      </w:pPr>
      <w:r>
        <w:rPr>
          <w:rFonts w:ascii="Calibri" w:hAnsi="Calibri"/>
          <w:b/>
          <w:color w:val="525866"/>
          <w:sz w:val="22"/>
        </w:rPr>
        <w:t>April 30, 2026 — Accelerated Share Repurchases:</w:t>
      </w:r>
      <w:r>
        <w:rPr>
          <w:rFonts w:ascii="Calibri" w:hAnsi="Calibri"/>
          <w:color w:val="525866"/>
          <w:sz w:val="22"/>
        </w:rPr>
        <w:t xml:space="preserve"> Management disclosed $340M in Q1 buybacks (largely toward quarter-end) and year-to-date repurchases of over 4 million shares for just under $400M — a higher pace than recent history. </w:t>
      </w:r>
      <w:r>
        <w:rPr>
          <w:rFonts w:ascii="Calibri" w:hAnsi="Calibri"/>
          <w:b/>
          <w:color w:val="525866"/>
          <w:sz w:val="22"/>
        </w:rPr>
        <w:t>Implication:</w:t>
      </w:r>
      <w:r>
        <w:rPr>
          <w:rFonts w:ascii="Calibri" w:hAnsi="Calibri"/>
          <w:color w:val="525866"/>
          <w:sz w:val="22"/>
        </w:rPr>
        <w:t xml:space="preserve"> Management explicitly framed the accelerated pace as reflecting value seen in the share price; with the stock now ~16% higher, the pace of buybacks in Q2 will be a key data point on capital allocation.</w:t>
      </w:r>
    </w:p>
    <w:p>
      <w:pPr>
        <w:pStyle w:val="ListBullet"/>
        <w:ind w:left="360" w:hanging="360"/>
      </w:pPr>
      <w:r>
        <w:rPr>
          <w:rFonts w:ascii="Calibri" w:hAnsi="Calibri"/>
          <w:b/>
          <w:color w:val="525866"/>
          <w:sz w:val="22"/>
        </w:rPr>
        <w:t>Macro Context:</w:t>
      </w:r>
      <w:r>
        <w:rPr>
          <w:rFonts w:ascii="Calibri" w:hAnsi="Calibri"/>
          <w:color w:val="525866"/>
          <w:sz w:val="22"/>
        </w:rPr>
        <w:t xml:space="preserve"> U.S. equity markets reached new all-time highs during Q2 2026, with the S&amp;P 500 up approximately 4.5% from April 30 to June 30. The market recovery from Q1 tariff-related volatility was the primary driver of AUM appreciation. </w:t>
      </w:r>
      <w:r>
        <w:rPr>
          <w:rFonts w:ascii="Calibri" w:hAnsi="Calibri"/>
          <w:b/>
          <w:color w:val="525866"/>
          <w:sz w:val="22"/>
        </w:rPr>
        <w:t>Implication:</w:t>
      </w:r>
      <w:r>
        <w:rPr>
          <w:rFonts w:ascii="Calibri" w:hAnsi="Calibri"/>
          <w:color w:val="525866"/>
          <w:sz w:val="22"/>
        </w:rPr>
        <w:t xml:space="preserve"> Favorable market backdrop supports both AUM and revenue beats, but also means the market tailwind is already known and priced in.</w:t>
      </w:r>
    </w:p>
    <w:p>
      <w:r>
        <w:br w:type="page"/>
      </w:r>
    </w:p>
    <w:p>
      <w:pPr>
        <w:pStyle w:val="Heading2"/>
      </w:pPr>
      <w:r>
        <w:rPr>
          <w:rFonts w:ascii="Calibri" w:hAnsi="Calibri"/>
          <w:b/>
          <w:color w:val="3B4259"/>
          <w:sz w:val="28"/>
        </w:rPr>
        <w:t>Peer Commentaries — Q2 2026 Read-Throughs</w:t>
      </w:r>
    </w:p>
    <w:p>
      <w:r>
        <w:rPr>
          <w:rFonts w:ascii="Calibri" w:hAnsi="Calibri"/>
          <w:b/>
          <w:color w:val="525866"/>
          <w:sz w:val="22"/>
        </w:rPr>
        <w:t xml:space="preserve">Key Takeaway: </w:t>
      </w:r>
      <w:r>
        <w:rPr>
          <w:rFonts w:ascii="Calibri" w:hAnsi="Calibri"/>
          <w:color w:val="525866"/>
          <w:sz w:val="22"/>
        </w:rPr>
        <w:t>Q2 2026 peer earnings calls from BLK, IVZ, AMP, NTRS, STT, BK, and SEIC paint a broadly constructive picture for asset managers — record flows at BLK and IVZ, improving margins across the board, and strong alternatives/ETF demand — but the read-through for TROW is nuanced: the industry tailwind is real, but TROW's structural challenges (active equity outflows, fee compression) are idiosyncratic and not resolved by a rising market.</w:t>
      </w:r>
    </w:p>
    <w:p>
      <w:r>
        <w:rPr>
          <w:rFonts w:ascii="Calibri" w:hAnsi="Calibri"/>
          <w:i/>
          <w:color w:val="525866"/>
          <w:sz w:val="22"/>
        </w:rPr>
        <w:t>Note: All peer commentary below is sourced from Q2 2026 earnings calls (reported July 2026), which are directly relevant to TROW's upcoming Q2 2026 print.</w:t>
      </w:r>
    </w:p>
    <w:p>
      <w:pPr>
        <w:pStyle w:val="Heading3"/>
      </w:pPr>
      <w:r>
        <w:rPr>
          <w:rFonts w:ascii="Calibri" w:hAnsi="Calibri"/>
          <w:b/>
          <w:color w:val="3B4259"/>
          <w:sz w:val="24"/>
        </w:rPr>
        <w:t>BlackRock (BLK) — Q2 2026 Earnings Call (July 15, 2026)</w:t>
      </w:r>
    </w:p>
    <w:p>
      <w:r>
        <w:rPr>
          <w:rFonts w:ascii="Calibri" w:hAnsi="Calibri"/>
          <w:b/>
          <w:color w:val="525866"/>
          <w:sz w:val="22"/>
        </w:rPr>
        <w:t xml:space="preserve">Read-Through Signal: </w:t>
      </w:r>
      <w:r>
        <w:rPr>
          <w:rFonts w:ascii="Calibri" w:hAnsi="Calibri"/>
          <w:color w:val="525866"/>
          <w:sz w:val="22"/>
        </w:rPr>
        <w:t>Strongly Positive for Industry; Mixed for TROW</w:t>
      </w:r>
    </w:p>
    <w:p>
      <w:pPr>
        <w:pStyle w:val="ListBullet"/>
        <w:ind w:left="360" w:hanging="360"/>
      </w:pPr>
      <w:r>
        <w:rPr>
          <w:rFonts w:ascii="Calibri" w:hAnsi="Calibri"/>
          <w:b/>
          <w:color w:val="525866"/>
          <w:sz w:val="22"/>
        </w:rPr>
        <w:t>Record flows and AUM:</w:t>
      </w:r>
      <w:r>
        <w:rPr>
          <w:rFonts w:ascii="Calibri" w:hAnsi="Calibri"/>
          <w:color w:val="525866"/>
          <w:sz w:val="22"/>
        </w:rPr>
        <w:t xml:space="preserve"> BLK reported $192B of Q2 net inflows (8% organic base fee growth) and AUM of $15.3T — a record. First-half 2026 flows were more than double H1 2025. This confirms the industry is in a strong flow environment driven by market appreciation and client demand for integrated solutions.</w:t>
      </w:r>
    </w:p>
    <w:p>
      <w:pPr>
        <w:pStyle w:val="ListBullet"/>
        <w:ind w:left="360" w:hanging="360"/>
      </w:pPr>
      <w:r>
        <w:rPr>
          <w:rFonts w:ascii="Calibri" w:hAnsi="Calibri"/>
          <w:b/>
          <w:color w:val="525866"/>
          <w:sz w:val="22"/>
        </w:rPr>
        <w:t>Active ETF momentum:</w:t>
      </w:r>
      <w:r>
        <w:rPr>
          <w:rFonts w:ascii="Calibri" w:hAnsi="Calibri"/>
          <w:color w:val="525866"/>
          <w:sz w:val="22"/>
        </w:rPr>
        <w:t xml:space="preserve"> BLK's active ETFs gathered $20B in Q2 net inflows and $70B+ over the last year, moving from 7th to 3rd largest active ETF manager in three years. This is a direct competitive read-through for TROW's ETF platform (which surpassed $25B AUM in Q1) — the active ETF market is growing rapidly, and TROW is gaining share but from a much smaller base.</w:t>
      </w:r>
    </w:p>
    <w:p>
      <w:pPr>
        <w:pStyle w:val="ListBullet"/>
        <w:ind w:left="360" w:hanging="360"/>
      </w:pPr>
      <w:r>
        <w:rPr>
          <w:rFonts w:ascii="Calibri" w:hAnsi="Calibri"/>
          <w:b/>
          <w:color w:val="525866"/>
          <w:sz w:val="22"/>
        </w:rPr>
        <w:t>Fee rate broadly flat:</w:t>
      </w:r>
      <w:r>
        <w:rPr>
          <w:rFonts w:ascii="Calibri" w:hAnsi="Calibri"/>
          <w:color w:val="525866"/>
          <w:sz w:val="22"/>
        </w:rPr>
        <w:t xml:space="preserve"> BLK's annualized effective fee rate was "broadly flat" vs. Q1, with client demand for higher-fee categories (private markets, active ETFs, systematic) lifting the fee rate on net flows. This is a positive read-through for the industry but a contrast to TROW's structural fee compression — BLK's diversification into private markets and technology is enabling fee rate stabilization that TROW has not yet achieved.</w:t>
      </w:r>
    </w:p>
    <w:p>
      <w:pPr>
        <w:pStyle w:val="ListBullet"/>
        <w:ind w:left="360" w:hanging="360"/>
      </w:pPr>
      <w:r>
        <w:rPr>
          <w:rFonts w:ascii="Calibri" w:hAnsi="Calibri"/>
          <w:b/>
          <w:color w:val="525866"/>
          <w:sz w:val="22"/>
        </w:rPr>
        <w:t>Margin expansion:</w:t>
      </w:r>
      <w:r>
        <w:rPr>
          <w:rFonts w:ascii="Calibri" w:hAnsi="Calibri"/>
          <w:color w:val="525866"/>
          <w:sz w:val="22"/>
        </w:rPr>
        <w:t xml:space="preserve"> BLK's operating margin reached 45.9%, up 260 bps YoY — its highest in nearly five years. The firm targets 45%+ adjusted operating margin. This sets a high bar for the industry and highlights TROW's margin gap (37% range) as a structural discount.</w:t>
      </w:r>
    </w:p>
    <w:p>
      <w:pPr>
        <w:pStyle w:val="ListBullet"/>
        <w:ind w:left="360" w:hanging="360"/>
      </w:pPr>
      <w:r>
        <w:rPr>
          <w:rFonts w:ascii="Calibri" w:hAnsi="Calibri"/>
          <w:b/>
          <w:color w:val="525866"/>
          <w:sz w:val="22"/>
        </w:rPr>
        <w:t>Private markets / insurance demand:</w:t>
      </w:r>
      <w:r>
        <w:rPr>
          <w:rFonts w:ascii="Calibri" w:hAnsi="Calibri"/>
          <w:color w:val="525866"/>
          <w:sz w:val="22"/>
        </w:rPr>
        <w:t xml:space="preserve"> BLK closed ~$10B in high-grade and infrastructure debt mandates for insurance companies in 2026, and institutional demand for private markets continues to grow. This is a positive read-through for OHA's institutional pipeline, which management highlighted on the Q1 call.</w:t>
      </w:r>
    </w:p>
    <w:p>
      <w:pPr>
        <w:pStyle w:val="Heading3"/>
      </w:pPr>
      <w:r>
        <w:rPr>
          <w:rFonts w:ascii="Calibri" w:hAnsi="Calibri"/>
          <w:b/>
          <w:color w:val="3B4259"/>
          <w:sz w:val="24"/>
        </w:rPr>
        <w:t>Invesco (IVZ) — Q2 2026 Earnings Call (July 28, 2026)</w:t>
      </w:r>
    </w:p>
    <w:p>
      <w:r>
        <w:rPr>
          <w:rFonts w:ascii="Calibri" w:hAnsi="Calibri"/>
          <w:b/>
          <w:color w:val="525866"/>
          <w:sz w:val="22"/>
        </w:rPr>
        <w:t xml:space="preserve">Read-Through Signal: </w:t>
      </w:r>
      <w:r>
        <w:rPr>
          <w:rFonts w:ascii="Calibri" w:hAnsi="Calibri"/>
          <w:color w:val="525866"/>
          <w:sz w:val="22"/>
        </w:rPr>
        <w:t>Positive for Active Manager Flows; Positive for ETF/SMA Demand</w:t>
      </w:r>
    </w:p>
    <w:p>
      <w:pPr>
        <w:pStyle w:val="ListBullet"/>
        <w:ind w:left="360" w:hanging="360"/>
      </w:pPr>
      <w:r>
        <w:rPr>
          <w:rFonts w:ascii="Calibri" w:hAnsi="Calibri"/>
          <w:b/>
          <w:color w:val="525866"/>
          <w:sz w:val="22"/>
        </w:rPr>
        <w:t>Record net inflows:</w:t>
      </w:r>
      <w:r>
        <w:rPr>
          <w:rFonts w:ascii="Calibri" w:hAnsi="Calibri"/>
          <w:color w:val="525866"/>
          <w:sz w:val="22"/>
        </w:rPr>
        <w:t xml:space="preserve"> IVZ reported record Q2 net long-term inflows of $45.1B (12th straight quarter of net inflows, ~9% annualized organic growth) and year-to-date record inflows of $67B. AUM reached a record $2.5T. This is a strong positive read-through for the industry flow environment heading into TROW's print.</w:t>
      </w:r>
    </w:p>
    <w:p>
      <w:pPr>
        <w:pStyle w:val="ListBullet"/>
        <w:ind w:left="360" w:hanging="360"/>
      </w:pPr>
      <w:r>
        <w:rPr>
          <w:rFonts w:ascii="Calibri" w:hAnsi="Calibri"/>
          <w:b/>
          <w:color w:val="525866"/>
          <w:sz w:val="22"/>
        </w:rPr>
        <w:t>Active equity still in outflows:</w:t>
      </w:r>
      <w:r>
        <w:rPr>
          <w:rFonts w:ascii="Calibri" w:hAnsi="Calibri"/>
          <w:color w:val="525866"/>
          <w:sz w:val="22"/>
        </w:rPr>
        <w:t xml:space="preserve"> Despite the record headline flows, IVZ's fundamental equities segment remained in net outflows of -$7.7B, primarily due to large idiosyncratic institutional liquidations. This is a direct read-through for TROW — active equity outflows are an industry-wide structural challenge, not just a TROW-specific issue, but the magnitude varies by manager.</w:t>
      </w:r>
    </w:p>
    <w:p>
      <w:pPr>
        <w:pStyle w:val="ListBullet"/>
        <w:ind w:left="360" w:hanging="360"/>
      </w:pPr>
      <w:r>
        <w:rPr>
          <w:rFonts w:ascii="Calibri" w:hAnsi="Calibri"/>
          <w:b/>
          <w:color w:val="525866"/>
          <w:sz w:val="22"/>
        </w:rPr>
        <w:t>Fee rate approaching stabilization:</w:t>
      </w:r>
      <w:r>
        <w:rPr>
          <w:rFonts w:ascii="Calibri" w:hAnsi="Calibri"/>
          <w:color w:val="525866"/>
          <w:sz w:val="22"/>
        </w:rPr>
        <w:t xml:space="preserve"> IVZ's net revenue yield was 22.4 bps in Q2, "slightly down from Q1 but in line with Q4" — management described the impact of asset mix shift as "moderating" and the yield as "approaching stabilization." This is a cautiously positive read-through for TROW's fee rate trajectory, suggesting the pace of compression may be slowing industry-wide.</w:t>
      </w:r>
    </w:p>
    <w:p>
      <w:pPr>
        <w:pStyle w:val="ListBullet"/>
        <w:ind w:left="360" w:hanging="360"/>
      </w:pPr>
      <w:r>
        <w:rPr>
          <w:rFonts w:ascii="Calibri" w:hAnsi="Calibri"/>
          <w:b/>
          <w:color w:val="525866"/>
          <w:sz w:val="22"/>
        </w:rPr>
        <w:t>Operating margin expansion:</w:t>
      </w:r>
      <w:r>
        <w:rPr>
          <w:rFonts w:ascii="Calibri" w:hAnsi="Calibri"/>
          <w:color w:val="525866"/>
          <w:sz w:val="22"/>
        </w:rPr>
        <w:t xml:space="preserve"> IVZ expanded operating margin by ~470 bps YoY to 37.5% in Q2, with nearly 500 bps of positive operating leverage on a sequential basis. This is directly comparable to TROW's margin profile and suggests the industry is generating strong operating leverage in the current market environment.</w:t>
      </w:r>
    </w:p>
    <w:p>
      <w:pPr>
        <w:pStyle w:val="ListBullet"/>
        <w:ind w:left="360" w:hanging="360"/>
      </w:pPr>
      <w:r>
        <w:rPr>
          <w:rFonts w:ascii="Calibri" w:hAnsi="Calibri"/>
          <w:b/>
          <w:color w:val="525866"/>
          <w:sz w:val="22"/>
        </w:rPr>
        <w:t>SMA platform growth:</w:t>
      </w:r>
      <w:r>
        <w:rPr>
          <w:rFonts w:ascii="Calibri" w:hAnsi="Calibri"/>
          <w:color w:val="525866"/>
          <w:sz w:val="22"/>
        </w:rPr>
        <w:t xml:space="preserve"> IVZ's US wealth management SMA platform reached nearly $40B AUM with 23% annualized organic growth. TROW's SMA platform had $17B AUM and $962M in Q1 net flows — both firms are seeing strong SMA demand, a positive read-through for TROW's SMA growth trajectory.</w:t>
      </w:r>
    </w:p>
    <w:p>
      <w:pPr>
        <w:pStyle w:val="Heading3"/>
      </w:pPr>
      <w:r>
        <w:rPr>
          <w:rFonts w:ascii="Calibri" w:hAnsi="Calibri"/>
          <w:b/>
          <w:color w:val="3B4259"/>
          <w:sz w:val="24"/>
        </w:rPr>
        <w:t>Ameriprise Financial (AMP) — Q2 2026 Earnings Call (July 23, 2026)</w:t>
      </w:r>
    </w:p>
    <w:p>
      <w:r>
        <w:rPr>
          <w:rFonts w:ascii="Calibri" w:hAnsi="Calibri"/>
          <w:b/>
          <w:color w:val="525866"/>
          <w:sz w:val="22"/>
        </w:rPr>
        <w:t xml:space="preserve">Read-Through Signal: </w:t>
      </w:r>
      <w:r>
        <w:rPr>
          <w:rFonts w:ascii="Calibri" w:hAnsi="Calibri"/>
          <w:color w:val="525866"/>
          <w:sz w:val="22"/>
        </w:rPr>
        <w:t>Positive for Wealth/Advice Channel; Mixed for Active Asset Management</w:t>
      </w:r>
    </w:p>
    <w:p>
      <w:pPr>
        <w:pStyle w:val="ListBullet"/>
        <w:ind w:left="360" w:hanging="360"/>
      </w:pPr>
      <w:r>
        <w:rPr>
          <w:rFonts w:ascii="Calibri" w:hAnsi="Calibri"/>
          <w:b/>
          <w:color w:val="525866"/>
          <w:sz w:val="22"/>
        </w:rPr>
        <w:t>AUM/A milestone:</w:t>
      </w:r>
      <w:r>
        <w:rPr>
          <w:rFonts w:ascii="Calibri" w:hAnsi="Calibri"/>
          <w:color w:val="525866"/>
          <w:sz w:val="22"/>
        </w:rPr>
        <w:t xml:space="preserve"> AMP's total assets under management and administration grew to $1.8T (+14% YoY), with wrap assets reaching a record $732B (+19%). This confirms the wealth management channel is in a strong growth environment, which is relevant to TROW's Target Date and retirement franchise.</w:t>
      </w:r>
    </w:p>
    <w:p>
      <w:pPr>
        <w:pStyle w:val="ListBullet"/>
        <w:ind w:left="360" w:hanging="360"/>
      </w:pPr>
      <w:r>
        <w:rPr>
          <w:rFonts w:ascii="Calibri" w:hAnsi="Calibri"/>
          <w:b/>
          <w:color w:val="525866"/>
          <w:sz w:val="22"/>
        </w:rPr>
        <w:t>Columbia Threadneedle net outflows improved:</w:t>
      </w:r>
      <w:r>
        <w:rPr>
          <w:rFonts w:ascii="Calibri" w:hAnsi="Calibri"/>
          <w:color w:val="525866"/>
          <w:sz w:val="22"/>
        </w:rPr>
        <w:t xml:space="preserve"> AMP's asset management segment (Columbia Threadneedle) reported total net outflows of -$6.5B, improved from prior quarters due to higher gross sales in North America and EMEA. North America retail equity flow rate was "ahead of active peers" — a positive read-through suggesting active equity demand is improving at the margin.</w:t>
      </w:r>
    </w:p>
    <w:p>
      <w:pPr>
        <w:pStyle w:val="ListBullet"/>
        <w:ind w:left="360" w:hanging="360"/>
      </w:pPr>
      <w:r>
        <w:rPr>
          <w:rFonts w:ascii="Calibri" w:hAnsi="Calibri"/>
          <w:b/>
          <w:color w:val="525866"/>
          <w:sz w:val="22"/>
        </w:rPr>
        <w:t>Fee rate stable:</w:t>
      </w:r>
      <w:r>
        <w:rPr>
          <w:rFonts w:ascii="Calibri" w:hAnsi="Calibri"/>
          <w:color w:val="525866"/>
          <w:sz w:val="22"/>
        </w:rPr>
        <w:t xml:space="preserve"> AMP's underlying fee rate in asset management remained stable at approximately 47 bps — a positive read-through suggesting fee compression is not universal and depends heavily on product mix.</w:t>
      </w:r>
    </w:p>
    <w:p>
      <w:pPr>
        <w:pStyle w:val="ListBullet"/>
        <w:ind w:left="360" w:hanging="360"/>
      </w:pPr>
      <w:r>
        <w:rPr>
          <w:rFonts w:ascii="Calibri" w:hAnsi="Calibri"/>
          <w:b/>
          <w:color w:val="525866"/>
          <w:sz w:val="22"/>
        </w:rPr>
        <w:t>Asset management margin above target:</w:t>
      </w:r>
      <w:r>
        <w:rPr>
          <w:rFonts w:ascii="Calibri" w:hAnsi="Calibri"/>
          <w:color w:val="525866"/>
          <w:sz w:val="22"/>
        </w:rPr>
        <w:t xml:space="preserve"> AMP's asset management margin reached 43% in Q2, above its 35–39% target range, driven by transformation initiatives and market conditions. This is a positive read-through for TROW's margin trajectory, though TROW's margin is structurally lower given its different business mix.</w:t>
      </w:r>
    </w:p>
    <w:p>
      <w:pPr>
        <w:pStyle w:val="ListBullet"/>
        <w:ind w:left="360" w:hanging="360"/>
      </w:pPr>
      <w:r>
        <w:rPr>
          <w:rFonts w:ascii="Calibri" w:hAnsi="Calibri"/>
          <w:b/>
          <w:color w:val="525866"/>
          <w:sz w:val="22"/>
        </w:rPr>
        <w:t>Active ETF traction:</w:t>
      </w:r>
      <w:r>
        <w:rPr>
          <w:rFonts w:ascii="Calibri" w:hAnsi="Calibri"/>
          <w:color w:val="525866"/>
          <w:sz w:val="22"/>
        </w:rPr>
        <w:t xml:space="preserve"> AMP launched two new active premium income ETF strategies and three active ETFs in EMEA, with SMAs and models gaining traction as a top-10 provider. Consistent with the industry-wide active ETF buildout that TROW is also pursuing.</w:t>
      </w:r>
    </w:p>
    <w:p>
      <w:pPr>
        <w:pStyle w:val="Heading3"/>
      </w:pPr>
      <w:r>
        <w:rPr>
          <w:rFonts w:ascii="Calibri" w:hAnsi="Calibri"/>
          <w:b/>
          <w:color w:val="3B4259"/>
          <w:sz w:val="24"/>
        </w:rPr>
        <w:t>Northern Trust (NTRS) — Q2 2026 Earnings Call (July 22, 2026)</w:t>
      </w:r>
    </w:p>
    <w:p>
      <w:r>
        <w:rPr>
          <w:rFonts w:ascii="Calibri" w:hAnsi="Calibri"/>
          <w:b/>
          <w:color w:val="525866"/>
          <w:sz w:val="22"/>
        </w:rPr>
        <w:t xml:space="preserve">Read-Through Signal: </w:t>
      </w:r>
      <w:r>
        <w:rPr>
          <w:rFonts w:ascii="Calibri" w:hAnsi="Calibri"/>
          <w:color w:val="525866"/>
          <w:sz w:val="22"/>
        </w:rPr>
        <w:t>Positive for Alternatives and ETF Demand; Positive for Institutional Fee Growth</w:t>
      </w:r>
    </w:p>
    <w:p>
      <w:pPr>
        <w:pStyle w:val="ListBullet"/>
        <w:ind w:left="360" w:hanging="360"/>
      </w:pPr>
      <w:r>
        <w:rPr>
          <w:rFonts w:ascii="Calibri" w:hAnsi="Calibri"/>
          <w:b/>
          <w:color w:val="525866"/>
          <w:sz w:val="22"/>
        </w:rPr>
        <w:t>AUM up 10% sequentially:</w:t>
      </w:r>
      <w:r>
        <w:rPr>
          <w:rFonts w:ascii="Calibri" w:hAnsi="Calibri"/>
          <w:color w:val="525866"/>
          <w:sz w:val="22"/>
        </w:rPr>
        <w:t xml:space="preserve"> NTRS reported AUM of $2T, up 10% sequentially and 16% YoY, driven by favorable markets. Investment management fees were up 10% YoY. This confirms the market-driven AUM tailwind is broad-based and supports TROW's revenue beat potential.</w:t>
      </w:r>
    </w:p>
    <w:p>
      <w:pPr>
        <w:pStyle w:val="ListBullet"/>
        <w:ind w:left="360" w:hanging="360"/>
      </w:pPr>
      <w:r>
        <w:rPr>
          <w:rFonts w:ascii="Calibri" w:hAnsi="Calibri"/>
          <w:b/>
          <w:color w:val="525866"/>
          <w:sz w:val="22"/>
        </w:rPr>
        <w:t>8th consecutive quarter of positive organic fee growth:</w:t>
      </w:r>
      <w:r>
        <w:rPr>
          <w:rFonts w:ascii="Calibri" w:hAnsi="Calibri"/>
          <w:color w:val="525866"/>
          <w:sz w:val="22"/>
        </w:rPr>
        <w:t xml:space="preserve"> NTRS delivered its 8th consecutive quarter of positive organic fee growth (excluding notable items), driven by ETF flows in US quality, large cap, and tax-efficient fixed income strategies. This is a positive read-through for the industry's ability to generate organic fee growth even in a competitive environment.</w:t>
      </w:r>
    </w:p>
    <w:p>
      <w:pPr>
        <w:pStyle w:val="ListBullet"/>
        <w:ind w:left="360" w:hanging="360"/>
      </w:pPr>
      <w:r>
        <w:rPr>
          <w:rFonts w:ascii="Calibri" w:hAnsi="Calibri"/>
          <w:b/>
          <w:color w:val="525866"/>
          <w:sz w:val="22"/>
        </w:rPr>
        <w:t>Alternatives AUA exceeds $1T:</w:t>
      </w:r>
      <w:r>
        <w:rPr>
          <w:rFonts w:ascii="Calibri" w:hAnsi="Calibri"/>
          <w:color w:val="525866"/>
          <w:sz w:val="22"/>
        </w:rPr>
        <w:t xml:space="preserve"> NTRS's assets under administration across hedge funds, private capital, and semi-liquid structures exceeded $1T, with new product launches from existing hedge fund clients up ~50% QoQ. This confirms strong institutional demand for alternatives servicing, consistent with OHA's growth narrative.</w:t>
      </w:r>
    </w:p>
    <w:p>
      <w:pPr>
        <w:pStyle w:val="ListBullet"/>
        <w:ind w:left="360" w:hanging="360"/>
      </w:pPr>
      <w:r>
        <w:rPr>
          <w:rFonts w:ascii="Calibri" w:hAnsi="Calibri"/>
          <w:b/>
          <w:color w:val="525866"/>
          <w:sz w:val="22"/>
        </w:rPr>
        <w:t>Price compression in select index mandates:</w:t>
      </w:r>
      <w:r>
        <w:rPr>
          <w:rFonts w:ascii="Calibri" w:hAnsi="Calibri"/>
          <w:color w:val="525866"/>
          <w:sz w:val="22"/>
        </w:rPr>
        <w:t xml:space="preserve"> NTRS noted price compression in select index mandates and some liquidity products. This is a read-through for the ongoing fee pressure in passive/index strategies, which indirectly benefits active managers like TROW that are not competing on price in those categories.</w:t>
      </w:r>
    </w:p>
    <w:p>
      <w:pPr>
        <w:pStyle w:val="ListBullet"/>
        <w:ind w:left="360" w:hanging="360"/>
      </w:pPr>
      <w:r>
        <w:rPr>
          <w:rFonts w:ascii="Calibri" w:hAnsi="Calibri"/>
          <w:b/>
          <w:color w:val="525866"/>
          <w:sz w:val="22"/>
        </w:rPr>
        <w:t>Operating leverage of 700+ bps:</w:t>
      </w:r>
      <w:r>
        <w:rPr>
          <w:rFonts w:ascii="Calibri" w:hAnsi="Calibri"/>
          <w:color w:val="525866"/>
          <w:sz w:val="22"/>
        </w:rPr>
        <w:t xml:space="preserve"> NTRS generated over 700 bps of positive operating leverage in Q2, with full-year guidance raised to ~400 bps. This sets a high bar for the industry and is a positive read-through for TROW's margin trajectory.</w:t>
      </w:r>
    </w:p>
    <w:p>
      <w:pPr>
        <w:pStyle w:val="Heading3"/>
      </w:pPr>
      <w:r>
        <w:rPr>
          <w:rFonts w:ascii="Calibri" w:hAnsi="Calibri"/>
          <w:b/>
          <w:color w:val="3B4259"/>
          <w:sz w:val="24"/>
        </w:rPr>
        <w:t>State Street (STT) — Q2 2026 Earnings Call (July 16, 2026)</w:t>
      </w:r>
    </w:p>
    <w:p>
      <w:r>
        <w:rPr>
          <w:rFonts w:ascii="Calibri" w:hAnsi="Calibri"/>
          <w:b/>
          <w:color w:val="525866"/>
          <w:sz w:val="22"/>
        </w:rPr>
        <w:t xml:space="preserve">Read-Through Signal: </w:t>
      </w:r>
      <w:r>
        <w:rPr>
          <w:rFonts w:ascii="Calibri" w:hAnsi="Calibri"/>
          <w:color w:val="525866"/>
          <w:sz w:val="22"/>
        </w:rPr>
        <w:t>Positive for AUM/Fee Growth; Positive for Alternatives Demand</w:t>
      </w:r>
    </w:p>
    <w:p>
      <w:pPr>
        <w:pStyle w:val="ListBullet"/>
        <w:ind w:left="360" w:hanging="360"/>
      </w:pPr>
      <w:r>
        <w:rPr>
          <w:rFonts w:ascii="Calibri" w:hAnsi="Calibri"/>
          <w:b/>
          <w:color w:val="525866"/>
          <w:sz w:val="22"/>
        </w:rPr>
        <w:t>Record AUM and fee revenue:</w:t>
      </w:r>
      <w:r>
        <w:rPr>
          <w:rFonts w:ascii="Calibri" w:hAnsi="Calibri"/>
          <w:color w:val="525866"/>
          <w:sz w:val="22"/>
        </w:rPr>
        <w:t xml:space="preserve"> STT reported record AUM of $6.3T (+23% YoY) and record management fees of $772M (+29% YoY), with ~9% organic growth. Net inflows of $114B marked the 5th consecutive quarter of positive organic growth, driven by index, ETF, and cash strategies. This is a strong positive read-through for the industry flow environment.</w:t>
      </w:r>
    </w:p>
    <w:p>
      <w:pPr>
        <w:pStyle w:val="ListBullet"/>
        <w:ind w:left="360" w:hanging="360"/>
      </w:pPr>
      <w:r>
        <w:rPr>
          <w:rFonts w:ascii="Calibri" w:hAnsi="Calibri"/>
          <w:b/>
          <w:color w:val="525866"/>
          <w:sz w:val="22"/>
        </w:rPr>
        <w:t>Alternatives driving servicing fee growth:</w:t>
      </w:r>
      <w:r>
        <w:rPr>
          <w:rFonts w:ascii="Calibri" w:hAnsi="Calibri"/>
          <w:color w:val="525866"/>
          <w:sz w:val="22"/>
        </w:rPr>
        <w:t xml:space="preserve"> STT's servicing fee sales of $87M in Q2 reflected "strength in strategic growth areas, including alternatives." Alternatives is described as "the most mature" of STT's three strategic growth initiatives. This is a positive read-through for OHA's institutional pipeline and TROW's alternatives growth story.</w:t>
      </w:r>
    </w:p>
    <w:p>
      <w:pPr>
        <w:pStyle w:val="ListBullet"/>
        <w:ind w:left="360" w:hanging="360"/>
      </w:pPr>
      <w:r>
        <w:rPr>
          <w:rFonts w:ascii="Calibri" w:hAnsi="Calibri"/>
          <w:b/>
          <w:color w:val="525866"/>
          <w:sz w:val="22"/>
        </w:rPr>
        <w:t>ETF environment "very different" from 5 years ago:</w:t>
      </w:r>
      <w:r>
        <w:rPr>
          <w:rFonts w:ascii="Calibri" w:hAnsi="Calibri"/>
          <w:color w:val="525866"/>
          <w:sz w:val="22"/>
        </w:rPr>
        <w:t xml:space="preserve"> STT management noted the current environment is "very different" from 5+ years ago when there was more price compression in a mutual fund-driven market, with "rapid adoption and proliferation of ETFs" in new areas. Clients are willing to pay for differentiated service. This is a nuanced positive for TROW — the shift away from mutual funds is a headwind for TROW's legacy business, but the ETF/active ETF opportunity is real.</w:t>
      </w:r>
    </w:p>
    <w:p>
      <w:pPr>
        <w:pStyle w:val="ListBullet"/>
        <w:ind w:left="360" w:hanging="360"/>
      </w:pPr>
      <w:r>
        <w:rPr>
          <w:rFonts w:ascii="Calibri" w:hAnsi="Calibri"/>
          <w:b/>
          <w:color w:val="525866"/>
          <w:sz w:val="22"/>
        </w:rPr>
        <w:t>10th consecutive quarter of positive operating leverage:</w:t>
      </w:r>
      <w:r>
        <w:rPr>
          <w:rFonts w:ascii="Calibri" w:hAnsi="Calibri"/>
          <w:color w:val="525866"/>
          <w:sz w:val="22"/>
        </w:rPr>
        <w:t xml:space="preserve"> STT generated 645 bps of positive operating leverage in Q2, with full-year guidance of ~500 bps. Pre-tax margin expanded 470 bps YoY to 34%. This is a positive read-through for the industry's ability to generate operating leverage in the current environment.</w:t>
      </w:r>
    </w:p>
    <w:p>
      <w:pPr>
        <w:pStyle w:val="Heading3"/>
      </w:pPr>
      <w:r>
        <w:rPr>
          <w:rFonts w:ascii="Calibri" w:hAnsi="Calibri"/>
          <w:b/>
          <w:color w:val="3B4259"/>
          <w:sz w:val="24"/>
        </w:rPr>
        <w:t>BNY Mellon (BK) — Q2 2026 Earnings Call (July 15, 2026)</w:t>
      </w:r>
    </w:p>
    <w:p>
      <w:r>
        <w:rPr>
          <w:rFonts w:ascii="Calibri" w:hAnsi="Calibri"/>
          <w:b/>
          <w:color w:val="525866"/>
          <w:sz w:val="22"/>
        </w:rPr>
        <w:t xml:space="preserve">Read-Through Signal: </w:t>
      </w:r>
      <w:r>
        <w:rPr>
          <w:rFonts w:ascii="Calibri" w:hAnsi="Calibri"/>
          <w:color w:val="525866"/>
          <w:sz w:val="22"/>
        </w:rPr>
        <w:t>Positive for Institutional Demand; Positive for Fee Stability</w:t>
      </w:r>
    </w:p>
    <w:p>
      <w:pPr>
        <w:pStyle w:val="ListBullet"/>
        <w:ind w:left="360" w:hanging="360"/>
      </w:pPr>
      <w:r>
        <w:rPr>
          <w:rFonts w:ascii="Calibri" w:hAnsi="Calibri"/>
          <w:b/>
          <w:color w:val="525866"/>
          <w:sz w:val="22"/>
        </w:rPr>
        <w:t>AUM up 6% YoY:</w:t>
      </w:r>
      <w:r>
        <w:rPr>
          <w:rFonts w:ascii="Calibri" w:hAnsi="Calibri"/>
          <w:color w:val="525866"/>
          <w:sz w:val="22"/>
        </w:rPr>
        <w:t xml:space="preserve"> BK reported AUM of $2.2T (+6% YoY), with Q2 net inflows of $3B driven by cash and fixed income strategies, partially offset by net outflows in LDI index and equity strategies. The equity outflow pattern is consistent with the industry-wide active equity headwind facing TROW.</w:t>
      </w:r>
    </w:p>
    <w:p>
      <w:pPr>
        <w:pStyle w:val="ListBullet"/>
        <w:ind w:left="360" w:hanging="360"/>
      </w:pPr>
      <w:r>
        <w:rPr>
          <w:rFonts w:ascii="Calibri" w:hAnsi="Calibri"/>
          <w:b/>
          <w:color w:val="525866"/>
          <w:sz w:val="22"/>
        </w:rPr>
        <w:t>Less pricing pressure vs. 2–3 years ago:</w:t>
      </w:r>
      <w:r>
        <w:rPr>
          <w:rFonts w:ascii="Calibri" w:hAnsi="Calibri"/>
          <w:color w:val="525866"/>
          <w:sz w:val="22"/>
        </w:rPr>
        <w:t xml:space="preserve"> BK management noted "less pricing pressure compared to two or three years ago" as clients are willing to pay for differentiated service. This is a positive read-through for TROW's ability to maintain fee rates on its higher-value active strategies, even as the overall effective fee rate compresses due to mix shift.</w:t>
      </w:r>
    </w:p>
    <w:p>
      <w:pPr>
        <w:pStyle w:val="ListBullet"/>
        <w:ind w:left="360" w:hanging="360"/>
      </w:pPr>
      <w:r>
        <w:rPr>
          <w:rFonts w:ascii="Calibri" w:hAnsi="Calibri"/>
          <w:b/>
          <w:color w:val="525866"/>
          <w:sz w:val="22"/>
        </w:rPr>
        <w:t>ETF AUC up 35% YoY:</w:t>
      </w:r>
      <w:r>
        <w:rPr>
          <w:rFonts w:ascii="Calibri" w:hAnsi="Calibri"/>
          <w:color w:val="525866"/>
          <w:sz w:val="22"/>
        </w:rPr>
        <w:t xml:space="preserve"> BK's ETF assets under custody reached $4.4T (+35% YoY), reflecting the rapid growth of the ETF ecosystem. This is a positive read-through for TROW's ETF platform growth.</w:t>
      </w:r>
    </w:p>
    <w:p>
      <w:pPr>
        <w:pStyle w:val="ListBullet"/>
        <w:ind w:left="360" w:hanging="360"/>
      </w:pPr>
      <w:r>
        <w:rPr>
          <w:rFonts w:ascii="Calibri" w:hAnsi="Calibri"/>
          <w:b/>
          <w:color w:val="525866"/>
          <w:sz w:val="22"/>
        </w:rPr>
        <w:t>600 bps of positive operating leverage:</w:t>
      </w:r>
      <w:r>
        <w:rPr>
          <w:rFonts w:ascii="Calibri" w:hAnsi="Calibri"/>
          <w:color w:val="525866"/>
          <w:sz w:val="22"/>
        </w:rPr>
        <w:t xml:space="preserve"> BK generated ~600 bps of positive operating leverage in Q2, with full-year guidance of ~400 bps. Revenue-related expenses accounted for three-quarters of the expense increase, with the remainder reflecting strategic investments and salary increases. This is a positive read-through for TROW's expense management story.</w:t>
      </w:r>
    </w:p>
    <w:p>
      <w:pPr>
        <w:pStyle w:val="ListBullet"/>
        <w:ind w:left="360" w:hanging="360"/>
      </w:pPr>
      <w:r>
        <w:rPr>
          <w:rFonts w:ascii="Calibri" w:hAnsi="Calibri"/>
          <w:b/>
          <w:color w:val="525866"/>
          <w:sz w:val="22"/>
        </w:rPr>
        <w:t>14th consecutive quarter of YoY sales growth:</w:t>
      </w:r>
      <w:r>
        <w:rPr>
          <w:rFonts w:ascii="Calibri" w:hAnsi="Calibri"/>
          <w:color w:val="525866"/>
          <w:sz w:val="22"/>
        </w:rPr>
        <w:t xml:space="preserve"> BK reported its 14th consecutive quarter of YoY sales growth, with two consecutive record sales quarters in 2026. Average deal size up 20%+ YoY. This confirms the institutional demand environment is robust.</w:t>
      </w:r>
    </w:p>
    <w:p>
      <w:pPr>
        <w:pStyle w:val="Heading3"/>
      </w:pPr>
      <w:r>
        <w:rPr>
          <w:rFonts w:ascii="Calibri" w:hAnsi="Calibri"/>
          <w:b/>
          <w:color w:val="3B4259"/>
          <w:sz w:val="24"/>
        </w:rPr>
        <w:t>SEI Investments (SEIC) — Q2 2026 Earnings Call (July 22, 2026)</w:t>
      </w:r>
    </w:p>
    <w:p>
      <w:r>
        <w:rPr>
          <w:rFonts w:ascii="Calibri" w:hAnsi="Calibri"/>
          <w:b/>
          <w:color w:val="525866"/>
          <w:sz w:val="22"/>
        </w:rPr>
        <w:t xml:space="preserve">Read-Through Signal: </w:t>
      </w:r>
      <w:r>
        <w:rPr>
          <w:rFonts w:ascii="Calibri" w:hAnsi="Calibri"/>
          <w:color w:val="525866"/>
          <w:sz w:val="22"/>
        </w:rPr>
        <w:t>Positive for Alternatives in Retirement; Positive for Active Manager Outsourcing Demand</w:t>
      </w:r>
    </w:p>
    <w:p>
      <w:pPr>
        <w:pStyle w:val="ListBullet"/>
        <w:ind w:left="360" w:hanging="360"/>
      </w:pPr>
      <w:r>
        <w:rPr>
          <w:rFonts w:ascii="Calibri" w:hAnsi="Calibri"/>
          <w:b/>
          <w:color w:val="525866"/>
          <w:sz w:val="22"/>
        </w:rPr>
        <w:t>LSV net inflows of ~$2B:</w:t>
      </w:r>
      <w:r>
        <w:rPr>
          <w:rFonts w:ascii="Calibri" w:hAnsi="Calibri"/>
          <w:color w:val="525866"/>
          <w:sz w:val="22"/>
        </w:rPr>
        <w:t xml:space="preserve"> SEIC's LSV (value equity manager) generated net inflows of ~$2B in Q2, a "notable reversal from recent trends," driven by a new large mandate and strong long-term investment performance. This is a positive read-through for TROW's active equity strategies — institutional investors are still willing to allocate to active value equity when performance is strong.</w:t>
      </w:r>
    </w:p>
    <w:p>
      <w:pPr>
        <w:pStyle w:val="ListBullet"/>
        <w:ind w:left="360" w:hanging="360"/>
      </w:pPr>
      <w:r>
        <w:rPr>
          <w:rFonts w:ascii="Calibri" w:hAnsi="Calibri"/>
          <w:b/>
          <w:color w:val="525866"/>
          <w:sz w:val="22"/>
        </w:rPr>
        <w:t>Alternatives in retirement — early innings:</w:t>
      </w:r>
      <w:r>
        <w:rPr>
          <w:rFonts w:ascii="Calibri" w:hAnsi="Calibri"/>
          <w:color w:val="525866"/>
          <w:sz w:val="22"/>
        </w:rPr>
        <w:t xml:space="preserve"> SEIC signed five "household name" clients for its "alternatives in retirement" solution in Q2, describing the category as "brand new" and having emerged only about six months ago. SEIC is "practically cornering that market" with only two competitors. This is a highly relevant read-through for TROW's Target Date franchise — the integration of private market exposure into retirement plans is an emerging opportunity that TROW is also pursuing through its Goldman Sachs partnership.</w:t>
      </w:r>
    </w:p>
    <w:p>
      <w:pPr>
        <w:pStyle w:val="ListBullet"/>
        <w:ind w:left="360" w:hanging="360"/>
      </w:pPr>
      <w:r>
        <w:rPr>
          <w:rFonts w:ascii="Calibri" w:hAnsi="Calibri"/>
          <w:b/>
          <w:color w:val="525866"/>
          <w:sz w:val="22"/>
        </w:rPr>
        <w:t>ETF business grew from $3B to $8B in 12 months:</w:t>
      </w:r>
      <w:r>
        <w:rPr>
          <w:rFonts w:ascii="Calibri" w:hAnsi="Calibri"/>
          <w:color w:val="525866"/>
          <w:sz w:val="22"/>
        </w:rPr>
        <w:t xml:space="preserve"> SEIC's ETF business grew from $3B to over $8B AUM in the last 12 months, with momentum in active factor ETFs. This confirms the active ETF opportunity is real and growing across the industry.</w:t>
      </w:r>
    </w:p>
    <w:p>
      <w:pPr>
        <w:pStyle w:val="ListBullet"/>
        <w:ind w:left="360" w:hanging="360"/>
      </w:pPr>
      <w:r>
        <w:rPr>
          <w:rFonts w:ascii="Calibri" w:hAnsi="Calibri"/>
          <w:b/>
          <w:color w:val="525866"/>
          <w:sz w:val="22"/>
        </w:rPr>
        <w:t>Demand for outsourcing across all segments:</w:t>
      </w:r>
      <w:r>
        <w:rPr>
          <w:rFonts w:ascii="Calibri" w:hAnsi="Calibri"/>
          <w:color w:val="525866"/>
          <w:sz w:val="22"/>
        </w:rPr>
        <w:t xml:space="preserve"> SEIC described "emphatic" demand for outsourcing across almost all segments, with C-level engagement at large organizations described as "better than I have ever seen in my 28 years in the business." This is a positive read-through for TROW's institutional distribution and OHA's fundraising pipeline.</w:t>
      </w:r>
    </w:p>
    <w:p>
      <w:pPr>
        <w:pStyle w:val="ListBullet"/>
        <w:ind w:left="360" w:hanging="360"/>
      </w:pPr>
      <w:r>
        <w:rPr>
          <w:rFonts w:ascii="Calibri" w:hAnsi="Calibri"/>
          <w:b/>
          <w:color w:val="525866"/>
          <w:sz w:val="22"/>
        </w:rPr>
        <w:t>500 bps of margin expansion:</w:t>
      </w:r>
      <w:r>
        <w:rPr>
          <w:rFonts w:ascii="Calibri" w:hAnsi="Calibri"/>
          <w:color w:val="525866"/>
          <w:sz w:val="22"/>
        </w:rPr>
        <w:t xml:space="preserve"> SEIC expanded adjusted operating margins by 500 bps YoY to reach quarterly records, with revenue up 15% and adjusted EPS up 38%. This is a positive read-through for the industry's operating leverage potential.</w:t>
      </w:r>
    </w:p>
    <w:p>
      <w:pPr>
        <w:pStyle w:val="Heading3"/>
      </w:pPr>
      <w:r>
        <w:rPr>
          <w:rFonts w:ascii="Calibri" w:hAnsi="Calibri"/>
          <w:b/>
          <w:color w:val="3B4259"/>
          <w:sz w:val="24"/>
        </w:rPr>
        <w:t>Peer Read-Through Summary Table</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Peer</w:t>
            </w:r>
          </w:p>
        </w:tc>
        <w:tc>
          <w:tcPr>
            <w:tcW w:type="dxa" w:w="2160"/>
            <w:shd w:val="clear" w:color="auto" w:fill="3B4259"/>
          </w:tcPr>
          <w:p>
            <w:r>
              <w:rPr>
                <w:rFonts w:ascii="Calibri" w:hAnsi="Calibri"/>
                <w:b/>
                <w:color w:val="FFFFFF"/>
                <w:sz w:val="22"/>
              </w:rPr>
              <w:t>Key Theme</w:t>
            </w:r>
          </w:p>
        </w:tc>
        <w:tc>
          <w:tcPr>
            <w:tcW w:type="dxa" w:w="2160"/>
            <w:shd w:val="clear" w:color="auto" w:fill="3B4259"/>
          </w:tcPr>
          <w:p>
            <w:r>
              <w:rPr>
                <w:rFonts w:ascii="Calibri" w:hAnsi="Calibri"/>
                <w:b/>
                <w:color w:val="FFFFFF"/>
                <w:sz w:val="22"/>
              </w:rPr>
              <w:t>TROW Read-Through</w:t>
            </w:r>
          </w:p>
        </w:tc>
        <w:tc>
          <w:tcPr>
            <w:tcW w:type="dxa" w:w="2160"/>
            <w:shd w:val="clear" w:color="auto" w:fill="3B4259"/>
          </w:tcPr>
          <w:p>
            <w:r>
              <w:rPr>
                <w:rFonts w:ascii="Calibri" w:hAnsi="Calibri"/>
                <w:b/>
                <w:color w:val="FFFFFF"/>
                <w:sz w:val="22"/>
              </w:rPr>
              <w:t>Signal</w:t>
            </w:r>
          </w:p>
        </w:tc>
      </w:tr>
      <w:tr>
        <w:tc>
          <w:tcPr>
            <w:tcW w:type="dxa" w:w="2160"/>
          </w:tcPr>
          <w:p>
            <w:r>
              <w:rPr>
                <w:rFonts w:ascii="Calibri" w:hAnsi="Calibri"/>
                <w:sz w:val="22"/>
              </w:rPr>
              <w:t>BLK</w:t>
            </w:r>
          </w:p>
        </w:tc>
        <w:tc>
          <w:tcPr>
            <w:tcW w:type="dxa" w:w="2160"/>
          </w:tcPr>
          <w:p>
            <w:r>
              <w:rPr>
                <w:rFonts w:ascii="Calibri" w:hAnsi="Calibri"/>
                <w:sz w:val="22"/>
              </w:rPr>
              <w:t>Record flows; active ETF leadership; private markets/insurance demand; margin at 5-year high</w:t>
            </w:r>
          </w:p>
        </w:tc>
        <w:tc>
          <w:tcPr>
            <w:tcW w:type="dxa" w:w="2160"/>
          </w:tcPr>
          <w:p>
            <w:r>
              <w:rPr>
                <w:rFonts w:ascii="Calibri" w:hAnsi="Calibri"/>
                <w:sz w:val="22"/>
              </w:rPr>
              <w:t>Industry flow environment strong; OHA institutional pipeline positive; TROW margin gap vs. BLK remains wide</w:t>
            </w:r>
          </w:p>
        </w:tc>
        <w:tc>
          <w:tcPr>
            <w:tcW w:type="dxa" w:w="2160"/>
          </w:tcPr>
          <w:p>
            <w:r>
              <w:rPr>
                <w:rFonts w:ascii="Calibri" w:hAnsi="Calibri"/>
                <w:b/>
                <w:color w:val="30A46C"/>
                <w:sz w:val="22"/>
              </w:rPr>
              <w:t>Positive</w:t>
            </w:r>
          </w:p>
        </w:tc>
      </w:tr>
      <w:tr>
        <w:tc>
          <w:tcPr>
            <w:tcW w:type="dxa" w:w="2160"/>
          </w:tcPr>
          <w:p>
            <w:r>
              <w:rPr>
                <w:rFonts w:ascii="Calibri" w:hAnsi="Calibri"/>
                <w:sz w:val="22"/>
              </w:rPr>
              <w:t>IVZ</w:t>
            </w:r>
          </w:p>
        </w:tc>
        <w:tc>
          <w:tcPr>
            <w:tcW w:type="dxa" w:w="2160"/>
          </w:tcPr>
          <w:p>
            <w:r>
              <w:rPr>
                <w:rFonts w:ascii="Calibri" w:hAnsi="Calibri"/>
                <w:sz w:val="22"/>
              </w:rPr>
              <w:t>Record net inflows; fee rate approaching stabilization; active equity still in outflows; SMA/ETF growth</w:t>
            </w:r>
          </w:p>
        </w:tc>
        <w:tc>
          <w:tcPr>
            <w:tcW w:type="dxa" w:w="2160"/>
          </w:tcPr>
          <w:p>
            <w:r>
              <w:rPr>
                <w:rFonts w:ascii="Calibri" w:hAnsi="Calibri"/>
                <w:sz w:val="22"/>
              </w:rPr>
              <w:t>Active equity outflows are industry-wide; fee compression may be moderating; SMA demand positive for TROW</w:t>
            </w:r>
          </w:p>
        </w:tc>
        <w:tc>
          <w:tcPr>
            <w:tcW w:type="dxa" w:w="2160"/>
          </w:tcPr>
          <w:p>
            <w:r>
              <w:rPr>
                <w:rFonts w:ascii="Calibri" w:hAnsi="Calibri"/>
                <w:b/>
                <w:color w:val="002FA7"/>
                <w:sz w:val="22"/>
              </w:rPr>
              <w:t>Mixed</w:t>
            </w:r>
          </w:p>
        </w:tc>
      </w:tr>
      <w:tr>
        <w:tc>
          <w:tcPr>
            <w:tcW w:type="dxa" w:w="2160"/>
          </w:tcPr>
          <w:p>
            <w:r>
              <w:rPr>
                <w:rFonts w:ascii="Calibri" w:hAnsi="Calibri"/>
                <w:sz w:val="22"/>
              </w:rPr>
              <w:t>AMP</w:t>
            </w:r>
          </w:p>
        </w:tc>
        <w:tc>
          <w:tcPr>
            <w:tcW w:type="dxa" w:w="2160"/>
          </w:tcPr>
          <w:p>
            <w:r>
              <w:rPr>
                <w:rFonts w:ascii="Calibri" w:hAnsi="Calibri"/>
                <w:sz w:val="22"/>
              </w:rPr>
              <w:t>Wealth AUM record; Columbia Threadneedle flows improving; fee rate stable; margin above target</w:t>
            </w:r>
          </w:p>
        </w:tc>
        <w:tc>
          <w:tcPr>
            <w:tcW w:type="dxa" w:w="2160"/>
          </w:tcPr>
          <w:p>
            <w:r>
              <w:rPr>
                <w:rFonts w:ascii="Calibri" w:hAnsi="Calibri"/>
                <w:sz w:val="22"/>
              </w:rPr>
              <w:t>Active equity flow rate improving at margin; fee stability possible with right product mix</w:t>
            </w:r>
          </w:p>
        </w:tc>
        <w:tc>
          <w:tcPr>
            <w:tcW w:type="dxa" w:w="2160"/>
          </w:tcPr>
          <w:p>
            <w:r>
              <w:rPr>
                <w:rFonts w:ascii="Calibri" w:hAnsi="Calibri"/>
                <w:b/>
                <w:color w:val="30A46C"/>
                <w:sz w:val="22"/>
              </w:rPr>
              <w:t>Positive</w:t>
            </w:r>
          </w:p>
        </w:tc>
      </w:tr>
      <w:tr>
        <w:tc>
          <w:tcPr>
            <w:tcW w:type="dxa" w:w="2160"/>
          </w:tcPr>
          <w:p>
            <w:r>
              <w:rPr>
                <w:rFonts w:ascii="Calibri" w:hAnsi="Calibri"/>
                <w:sz w:val="22"/>
              </w:rPr>
              <w:t>NTRS</w:t>
            </w:r>
          </w:p>
        </w:tc>
        <w:tc>
          <w:tcPr>
            <w:tcW w:type="dxa" w:w="2160"/>
          </w:tcPr>
          <w:p>
            <w:r>
              <w:rPr>
                <w:rFonts w:ascii="Calibri" w:hAnsi="Calibri"/>
                <w:sz w:val="22"/>
              </w:rPr>
              <w:t>8th consecutive quarter of organic fee growth; alternatives AUA &gt;$1T; 700+ bps operating leverage</w:t>
            </w:r>
          </w:p>
        </w:tc>
        <w:tc>
          <w:tcPr>
            <w:tcW w:type="dxa" w:w="2160"/>
          </w:tcPr>
          <w:p>
            <w:r>
              <w:rPr>
                <w:rFonts w:ascii="Calibri" w:hAnsi="Calibri"/>
                <w:sz w:val="22"/>
              </w:rPr>
              <w:t>Alternatives demand robust; institutional fee growth achievable; operating leverage environment favorable</w:t>
            </w:r>
          </w:p>
        </w:tc>
        <w:tc>
          <w:tcPr>
            <w:tcW w:type="dxa" w:w="2160"/>
          </w:tcPr>
          <w:p>
            <w:r>
              <w:rPr>
                <w:rFonts w:ascii="Calibri" w:hAnsi="Calibri"/>
                <w:b/>
                <w:color w:val="30A46C"/>
                <w:sz w:val="22"/>
              </w:rPr>
              <w:t>Positive</w:t>
            </w:r>
          </w:p>
        </w:tc>
      </w:tr>
      <w:tr>
        <w:tc>
          <w:tcPr>
            <w:tcW w:type="dxa" w:w="2160"/>
          </w:tcPr>
          <w:p>
            <w:r>
              <w:rPr>
                <w:rFonts w:ascii="Calibri" w:hAnsi="Calibri"/>
                <w:sz w:val="22"/>
              </w:rPr>
              <w:t>STT</w:t>
            </w:r>
          </w:p>
        </w:tc>
        <w:tc>
          <w:tcPr>
            <w:tcW w:type="dxa" w:w="2160"/>
          </w:tcPr>
          <w:p>
            <w:r>
              <w:rPr>
                <w:rFonts w:ascii="Calibri" w:hAnsi="Calibri"/>
                <w:sz w:val="22"/>
              </w:rPr>
              <w:t>Record AUM/fees; alternatives driving servicing growth; ETF environment "very different" from 5 years ago</w:t>
            </w:r>
          </w:p>
        </w:tc>
        <w:tc>
          <w:tcPr>
            <w:tcW w:type="dxa" w:w="2160"/>
          </w:tcPr>
          <w:p>
            <w:r>
              <w:rPr>
                <w:rFonts w:ascii="Calibri" w:hAnsi="Calibri"/>
                <w:sz w:val="22"/>
              </w:rPr>
              <w:t>Alternatives demand strong; ETF proliferation is a structural tailwind for TROW's ETF platform</w:t>
            </w:r>
          </w:p>
        </w:tc>
        <w:tc>
          <w:tcPr>
            <w:tcW w:type="dxa" w:w="2160"/>
          </w:tcPr>
          <w:p>
            <w:r>
              <w:rPr>
                <w:rFonts w:ascii="Calibri" w:hAnsi="Calibri"/>
                <w:b/>
                <w:color w:val="30A46C"/>
                <w:sz w:val="22"/>
              </w:rPr>
              <w:t>Positive</w:t>
            </w:r>
          </w:p>
        </w:tc>
      </w:tr>
      <w:tr>
        <w:tc>
          <w:tcPr>
            <w:tcW w:type="dxa" w:w="2160"/>
          </w:tcPr>
          <w:p>
            <w:r>
              <w:rPr>
                <w:rFonts w:ascii="Calibri" w:hAnsi="Calibri"/>
                <w:sz w:val="22"/>
              </w:rPr>
              <w:t>BK</w:t>
            </w:r>
          </w:p>
        </w:tc>
        <w:tc>
          <w:tcPr>
            <w:tcW w:type="dxa" w:w="2160"/>
          </w:tcPr>
          <w:p>
            <w:r>
              <w:rPr>
                <w:rFonts w:ascii="Calibri" w:hAnsi="Calibri"/>
                <w:sz w:val="22"/>
              </w:rPr>
              <w:t>Less pricing pressure vs. 2-3 years ago; equity outflows in LDI/index; 600 bps operating leverage</w:t>
            </w:r>
          </w:p>
        </w:tc>
        <w:tc>
          <w:tcPr>
            <w:tcW w:type="dxa" w:w="2160"/>
          </w:tcPr>
          <w:p>
            <w:r>
              <w:rPr>
                <w:rFonts w:ascii="Calibri" w:hAnsi="Calibri"/>
                <w:sz w:val="22"/>
              </w:rPr>
              <w:t>Fee pressure moderating for differentiated strategies; equity outflows industry-wide; operating leverage achievable</w:t>
            </w:r>
          </w:p>
        </w:tc>
        <w:tc>
          <w:tcPr>
            <w:tcW w:type="dxa" w:w="2160"/>
          </w:tcPr>
          <w:p>
            <w:r>
              <w:rPr>
                <w:rFonts w:ascii="Calibri" w:hAnsi="Calibri"/>
                <w:b/>
                <w:color w:val="002FA7"/>
                <w:sz w:val="22"/>
              </w:rPr>
              <w:t>Mixed</w:t>
            </w:r>
          </w:p>
        </w:tc>
      </w:tr>
      <w:tr>
        <w:tc>
          <w:tcPr>
            <w:tcW w:type="dxa" w:w="2160"/>
          </w:tcPr>
          <w:p>
            <w:r>
              <w:rPr>
                <w:rFonts w:ascii="Calibri" w:hAnsi="Calibri"/>
                <w:sz w:val="22"/>
              </w:rPr>
              <w:t>SEIC</w:t>
            </w:r>
          </w:p>
        </w:tc>
        <w:tc>
          <w:tcPr>
            <w:tcW w:type="dxa" w:w="2160"/>
          </w:tcPr>
          <w:p>
            <w:r>
              <w:rPr>
                <w:rFonts w:ascii="Calibri" w:hAnsi="Calibri"/>
                <w:sz w:val="22"/>
              </w:rPr>
              <w:t>LSV value equity inflows; alternatives in retirement early innings; outsourcing demand at record levels</w:t>
            </w:r>
          </w:p>
        </w:tc>
        <w:tc>
          <w:tcPr>
            <w:tcW w:type="dxa" w:w="2160"/>
          </w:tcPr>
          <w:p>
            <w:r>
              <w:rPr>
                <w:rFonts w:ascii="Calibri" w:hAnsi="Calibri"/>
                <w:sz w:val="22"/>
              </w:rPr>
              <w:t>Active value equity demand returning; retirement alternatives opportunity directly relevant to TROW's Target Date + Goldman partnership</w:t>
            </w:r>
          </w:p>
        </w:tc>
        <w:tc>
          <w:tcPr>
            <w:tcW w:type="dxa" w:w="2160"/>
          </w:tcPr>
          <w:p>
            <w:r>
              <w:rPr>
                <w:rFonts w:ascii="Calibri" w:hAnsi="Calibri"/>
                <w:b/>
                <w:color w:val="30A46C"/>
                <w:sz w:val="22"/>
              </w:rPr>
              <w:t>Positive</w:t>
            </w:r>
          </w:p>
        </w:tc>
      </w:tr>
    </w:tbl>
    <w:p>
      <w:r>
        <w:br w:type="page"/>
      </w:r>
    </w:p>
    <w:p>
      <w:pPr>
        <w:pStyle w:val="Heading2"/>
      </w:pPr>
      <w:r>
        <w:rPr>
          <w:rFonts w:ascii="Calibri" w:hAnsi="Calibri"/>
          <w:b/>
          <w:color w:val="3B4259"/>
          <w:sz w:val="28"/>
        </w:rPr>
        <w:t>Insider Transaction Activity</w:t>
      </w:r>
    </w:p>
    <w:p>
      <w:r>
        <w:rPr>
          <w:rFonts w:ascii="Calibri" w:hAnsi="Calibri"/>
          <w:b/>
          <w:color w:val="525866"/>
          <w:sz w:val="22"/>
        </w:rPr>
        <w:t xml:space="preserve">Key Takeaway: </w:t>
      </w:r>
      <w:r>
        <w:rPr>
          <w:rFonts w:ascii="Calibri" w:hAnsi="Calibri"/>
          <w:color w:val="525866"/>
          <w:sz w:val="22"/>
        </w:rPr>
        <w:t>All insider transactions since the Q1 print are equity award grants (transaction code "A") to directors and one VP-level sale — there are no open-market buys or discretionary sells from senior executives, which is neither a bullish nor bearish signal; the absence of insider buying at current prices (stock up ~16% since Q1 earnings) is notable but not alarming given the stock is no longer at trough valuations.</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Shares</w:t>
            </w:r>
          </w:p>
        </w:tc>
        <w:tc>
          <w:tcPr>
            <w:tcW w:type="dxa" w:w="1440"/>
            <w:shd w:val="clear" w:color="auto" w:fill="3B4259"/>
          </w:tcPr>
          <w:p>
            <w:r>
              <w:rPr>
                <w:rFonts w:ascii="Calibri" w:hAnsi="Calibri"/>
                <w:b/>
                <w:color w:val="FFFFFF"/>
                <w:sz w:val="22"/>
              </w:rPr>
              <w:t>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Jackson, Stephon A.</w:t>
            </w:r>
          </w:p>
        </w:tc>
        <w:tc>
          <w:tcPr>
            <w:tcW w:type="dxa" w:w="1440"/>
          </w:tcPr>
          <w:p>
            <w:r>
              <w:rPr>
                <w:rFonts w:ascii="Calibri" w:hAnsi="Calibri"/>
                <w:sz w:val="22"/>
              </w:rPr>
              <w:t>Vice President</w:t>
            </w:r>
          </w:p>
        </w:tc>
        <w:tc>
          <w:tcPr>
            <w:tcW w:type="dxa" w:w="1440"/>
          </w:tcPr>
          <w:p>
            <w:r>
              <w:rPr>
                <w:rFonts w:ascii="Calibri" w:hAnsi="Calibri"/>
                <w:sz w:val="22"/>
              </w:rPr>
              <w:t>Open Market Sale (Code S)</w:t>
            </w:r>
          </w:p>
        </w:tc>
        <w:tc>
          <w:tcPr>
            <w:tcW w:type="dxa" w:w="1440"/>
          </w:tcPr>
          <w:p>
            <w:r>
              <w:rPr>
                <w:rFonts w:ascii="Calibri" w:hAnsi="Calibri"/>
                <w:sz w:val="22"/>
              </w:rPr>
              <w:t>3,000 shares</w:t>
            </w:r>
          </w:p>
        </w:tc>
        <w:tc>
          <w:tcPr>
            <w:tcW w:type="dxa" w:w="1440"/>
          </w:tcPr>
          <w:p>
            <w:r>
              <w:rPr>
                <w:rFonts w:ascii="Calibri" w:hAnsi="Calibri"/>
                <w:sz w:val="22"/>
              </w:rPr>
              <w:t>May 13, 2026</w:t>
            </w:r>
          </w:p>
        </w:tc>
        <w:tc>
          <w:tcPr>
            <w:tcW w:type="dxa" w:w="1440"/>
          </w:tcPr>
          <w:p>
            <w:r>
              <w:rPr>
                <w:rFonts w:ascii="Calibri" w:hAnsi="Calibri"/>
                <w:sz w:val="22"/>
              </w:rPr>
              <w:t>Only open-market sale in the period; VP-level, not C-suite; concurrent award grant (175 shares) on same date suggests routine compensation-related activity</w:t>
            </w:r>
          </w:p>
        </w:tc>
      </w:tr>
      <w:tr>
        <w:tc>
          <w:tcPr>
            <w:tcW w:type="dxa" w:w="1440"/>
          </w:tcPr>
          <w:p>
            <w:r>
              <w:rPr>
                <w:rFonts w:ascii="Calibri" w:hAnsi="Calibri"/>
                <w:sz w:val="22"/>
              </w:rPr>
              <w:t>Page, Sébastien</w:t>
            </w:r>
          </w:p>
        </w:tc>
        <w:tc>
          <w:tcPr>
            <w:tcW w:type="dxa" w:w="1440"/>
          </w:tcPr>
          <w:p>
            <w:r>
              <w:rPr>
                <w:rFonts w:ascii="Calibri" w:hAnsi="Calibri"/>
                <w:sz w:val="22"/>
              </w:rPr>
              <w:t>Vice President / Co-Head Global Investments &amp; CIO</w:t>
            </w:r>
          </w:p>
        </w:tc>
        <w:tc>
          <w:tcPr>
            <w:tcW w:type="dxa" w:w="1440"/>
          </w:tcPr>
          <w:p>
            <w:r>
              <w:rPr>
                <w:rFonts w:ascii="Calibri" w:hAnsi="Calibri"/>
                <w:sz w:val="22"/>
              </w:rPr>
              <w:t>Award Grant (Code A)</w:t>
            </w:r>
          </w:p>
        </w:tc>
        <w:tc>
          <w:tcPr>
            <w:tcW w:type="dxa" w:w="1440"/>
          </w:tcPr>
          <w:p>
            <w:r>
              <w:rPr>
                <w:rFonts w:ascii="Calibri" w:hAnsi="Calibri"/>
                <w:sz w:val="22"/>
              </w:rPr>
              <w:t>96,228 shares</w:t>
            </w:r>
          </w:p>
        </w:tc>
        <w:tc>
          <w:tcPr>
            <w:tcW w:type="dxa" w:w="1440"/>
          </w:tcPr>
          <w:p>
            <w:r>
              <w:rPr>
                <w:rFonts w:ascii="Calibri" w:hAnsi="Calibri"/>
                <w:sz w:val="22"/>
              </w:rPr>
              <w:t>June 1, 2026</w:t>
            </w:r>
          </w:p>
        </w:tc>
        <w:tc>
          <w:tcPr>
            <w:tcW w:type="dxa" w:w="1440"/>
          </w:tcPr>
          <w:p>
            <w:r>
              <w:rPr>
                <w:rFonts w:ascii="Calibri" w:hAnsi="Calibri"/>
                <w:sz w:val="22"/>
              </w:rPr>
              <w:t>Large grant associated with appointment as Co-Head Global Investments &amp; CIO effective June 1; compensation-related, not open-market purchase</w:t>
            </w:r>
          </w:p>
        </w:tc>
      </w:tr>
      <w:tr>
        <w:tc>
          <w:tcPr>
            <w:tcW w:type="dxa" w:w="1440"/>
          </w:tcPr>
          <w:p>
            <w:r>
              <w:rPr>
                <w:rFonts w:ascii="Calibri" w:hAnsi="Calibri"/>
                <w:sz w:val="22"/>
              </w:rPr>
              <w:t>Multiple Directors (9 individuals)</w:t>
            </w:r>
          </w:p>
        </w:tc>
        <w:tc>
          <w:tcPr>
            <w:tcW w:type="dxa" w:w="1440"/>
          </w:tcPr>
          <w:p>
            <w:r>
              <w:rPr>
                <w:rFonts w:ascii="Calibri" w:hAnsi="Calibri"/>
                <w:sz w:val="22"/>
              </w:rPr>
              <w:t>Director</w:t>
            </w:r>
          </w:p>
        </w:tc>
        <w:tc>
          <w:tcPr>
            <w:tcW w:type="dxa" w:w="1440"/>
          </w:tcPr>
          <w:p>
            <w:r>
              <w:rPr>
                <w:rFonts w:ascii="Calibri" w:hAnsi="Calibri"/>
                <w:sz w:val="22"/>
              </w:rPr>
              <w:t>Award Grant (Code A)</w:t>
            </w:r>
          </w:p>
        </w:tc>
        <w:tc>
          <w:tcPr>
            <w:tcW w:type="dxa" w:w="1440"/>
          </w:tcPr>
          <w:p>
            <w:r>
              <w:rPr>
                <w:rFonts w:ascii="Calibri" w:hAnsi="Calibri"/>
                <w:sz w:val="22"/>
              </w:rPr>
              <w:t>1,899 shares each</w:t>
            </w:r>
          </w:p>
        </w:tc>
        <w:tc>
          <w:tcPr>
            <w:tcW w:type="dxa" w:w="1440"/>
          </w:tcPr>
          <w:p>
            <w:r>
              <w:rPr>
                <w:rFonts w:ascii="Calibri" w:hAnsi="Calibri"/>
                <w:sz w:val="22"/>
              </w:rPr>
              <w:t>May 8, 2026</w:t>
            </w:r>
          </w:p>
        </w:tc>
        <w:tc>
          <w:tcPr>
            <w:tcW w:type="dxa" w:w="1440"/>
          </w:tcPr>
          <w:p>
            <w:r>
              <w:rPr>
                <w:rFonts w:ascii="Calibri" w:hAnsi="Calibri"/>
                <w:sz w:val="22"/>
              </w:rPr>
              <w:t>Routine annual director equity compensation grants; includes Bartlett, Donnelly, Dublon, Golston, MacLellan, Rominger, Smith, Stevens, Verma, Wijnberg, Wilson</w:t>
            </w:r>
          </w:p>
        </w:tc>
      </w:tr>
      <w:tr>
        <w:tc>
          <w:tcPr>
            <w:tcW w:type="dxa" w:w="1440"/>
          </w:tcPr>
          <w:p>
            <w:r>
              <w:rPr>
                <w:rFonts w:ascii="Calibri" w:hAnsi="Calibri"/>
                <w:sz w:val="22"/>
              </w:rPr>
              <w:t>Multiple Directors (8 individuals)</w:t>
            </w:r>
          </w:p>
        </w:tc>
        <w:tc>
          <w:tcPr>
            <w:tcW w:type="dxa" w:w="1440"/>
          </w:tcPr>
          <w:p>
            <w:r>
              <w:rPr>
                <w:rFonts w:ascii="Calibri" w:hAnsi="Calibri"/>
                <w:sz w:val="22"/>
              </w:rPr>
              <w:t>Director</w:t>
            </w:r>
          </w:p>
        </w:tc>
        <w:tc>
          <w:tcPr>
            <w:tcW w:type="dxa" w:w="1440"/>
          </w:tcPr>
          <w:p>
            <w:r>
              <w:rPr>
                <w:rFonts w:ascii="Calibri" w:hAnsi="Calibri"/>
                <w:sz w:val="22"/>
              </w:rPr>
              <w:t>Award Grant (Code A)</w:t>
            </w:r>
          </w:p>
        </w:tc>
        <w:tc>
          <w:tcPr>
            <w:tcW w:type="dxa" w:w="1440"/>
          </w:tcPr>
          <w:p>
            <w:r>
              <w:rPr>
                <w:rFonts w:ascii="Calibri" w:hAnsi="Calibri"/>
                <w:sz w:val="22"/>
              </w:rPr>
              <w:t>Varies (55–843 shares each)</w:t>
            </w:r>
          </w:p>
        </w:tc>
        <w:tc>
          <w:tcPr>
            <w:tcW w:type="dxa" w:w="1440"/>
          </w:tcPr>
          <w:p>
            <w:r>
              <w:rPr>
                <w:rFonts w:ascii="Calibri" w:hAnsi="Calibri"/>
                <w:sz w:val="22"/>
              </w:rPr>
              <w:t>June 29–30, 2026</w:t>
            </w:r>
          </w:p>
        </w:tc>
        <w:tc>
          <w:tcPr>
            <w:tcW w:type="dxa" w:w="1440"/>
          </w:tcPr>
          <w:p>
            <w:r>
              <w:rPr>
                <w:rFonts w:ascii="Calibri" w:hAnsi="Calibri"/>
                <w:sz w:val="22"/>
              </w:rPr>
              <w:t>Quarterly dividend reinvestment / deferred compensation plan grants; routine, not discretionary open-market purchases</w:t>
            </w:r>
          </w:p>
        </w:tc>
      </w:tr>
    </w:tbl>
    <w:p>
      <w:r>
        <w:rPr>
          <w:rFonts w:ascii="Calibri" w:hAnsi="Calibri"/>
          <w:b/>
          <w:color w:val="525866"/>
          <w:sz w:val="22"/>
        </w:rPr>
        <w:t xml:space="preserve">Summary: </w:t>
      </w:r>
      <w:r>
        <w:rPr>
          <w:rFonts w:ascii="Calibri" w:hAnsi="Calibri"/>
          <w:color w:val="525866"/>
          <w:sz w:val="22"/>
        </w:rPr>
        <w:t xml:space="preserve">The insider transaction picture is clean — no red flags. The only open-market sale (Jackson, 3,000 shares on May 13) is VP-level and accompanied by a concurrent award grant, suggesting it is compensation-related rather than a discretionary bearish signal. The large grant to Sébastien Page (96,228 shares on June 1) is tied to his appointment as Co-Head Global Investments &amp; CIO and is not an open-market purchase. Director grants in May and June are routine annual and quarterly compensation awards. Notably, there are </w:t>
      </w:r>
      <w:r>
        <w:rPr>
          <w:rFonts w:ascii="Calibri" w:hAnsi="Calibri"/>
          <w:b/>
          <w:color w:val="525866"/>
          <w:sz w:val="22"/>
        </w:rPr>
        <w:t>no open-market buys from C-suite executives</w:t>
      </w:r>
      <w:r>
        <w:rPr>
          <w:rFonts w:ascii="Calibri" w:hAnsi="Calibri"/>
          <w:color w:val="525866"/>
          <w:sz w:val="22"/>
        </w:rPr>
        <w:t xml:space="preserve"> despite management's stated view on the Q1 call that the stock represents good value — the accelerated buyback program ($340M in Q1) is the primary vehicle for capital return, not insider purchases. Source: Insider Transaction Data (SEC Form 4).</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