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 Rowe Price Group (TROW) — Q2 2026 Earnings Preview</w:t>
      </w:r>
    </w:p>
    <w:p>
      <w:r>
        <w:rPr>
          <w:rFonts w:ascii="Calibri" w:hAnsi="Calibri"/>
          <w:b/>
          <w:color w:val="525866"/>
          <w:sz w:val="22"/>
        </w:rPr>
        <w:t xml:space="preserve">Ticker: </w:t>
      </w:r>
      <w:r>
        <w:rPr>
          <w:rFonts w:ascii="Calibri" w:hAnsi="Calibri"/>
          <w:color w:val="525866"/>
          <w:sz w:val="22"/>
        </w:rPr>
        <w:t xml:space="preserve">TROW  </w:t>
      </w:r>
      <w:r>
        <w:rPr>
          <w:rFonts w:ascii="Calibri" w:hAnsi="Calibri"/>
          <w:b/>
          <w:color w:val="525866"/>
          <w:sz w:val="22"/>
        </w:rPr>
        <w:t xml:space="preserve">Upcoming Earnings Date: </w:t>
      </w:r>
      <w:r>
        <w:rPr>
          <w:rFonts w:ascii="Calibri" w:hAnsi="Calibri"/>
          <w:color w:val="525866"/>
          <w:sz w:val="22"/>
        </w:rPr>
        <w:t xml:space="preserve">July 31, 2026  </w:t>
      </w:r>
      <w:r>
        <w:rPr>
          <w:rFonts w:ascii="Calibri" w:hAnsi="Calibri"/>
          <w:b/>
          <w:color w:val="525866"/>
          <w:sz w:val="22"/>
        </w:rPr>
        <w:t xml:space="preserve">Prepared: </w:t>
      </w:r>
      <w:r>
        <w:rPr>
          <w:rFonts w:ascii="Calibri" w:hAnsi="Calibri"/>
          <w:color w:val="525866"/>
          <w:sz w:val="22"/>
        </w:rPr>
        <w:t>July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EPS has been revised up since last earnings and AUM came in well above the post-Q1 estimate, but the bar on net flows is still the key swing factor and equity outflows remain structurally challenged.</w:t>
      </w:r>
    </w:p>
    <w:p>
      <w:r>
        <w:rPr>
          <w:rFonts w:ascii="Calibri" w:hAnsi="Calibri"/>
          <w:color w:val="525866"/>
          <w:sz w:val="22"/>
        </w:rPr>
        <w:t xml:space="preserve">Heading into Q2 2026, the bar for TROW looks achievable but not easy. Consensus adjusted EPS of ~$2.52 is up from the $2.25 estimate that prevailed at the time of the Q1 print, driven primarily by a strong market rally that lifted average AUM well above what was modeled — TROW reported June month-end AUM of $1.89 trillion, meaningfully above the $1.77T consensus estimate that stood at the Q1 earnings date. </w:t>
      </w:r>
      <w:r>
        <w:rPr>
          <w:rFonts w:ascii="Calibri" w:hAnsi="Calibri"/>
          <w:b/>
          <w:color w:val="525866"/>
          <w:sz w:val="22"/>
        </w:rPr>
        <w:t>Management's tone on the Q1 call was measured but constructive</w:t>
      </w:r>
      <w:r>
        <w:rPr>
          <w:rFonts w:ascii="Calibri" w:hAnsi="Calibri"/>
          <w:color w:val="525866"/>
          <w:sz w:val="22"/>
        </w:rPr>
        <w:t xml:space="preserve">: expense guidance of +3–6% over the 2025 base was reaffirmed as "comfortably within range," and the OHA CEO's debut on the call signaled elevated strategic priority for alternatives. Estimate revisions have moved sharply higher since May — the July consensus EPS of $2.80 is well above the $2.25 figure from just after Q1 earnings — suggesting the market has already priced in a meaningful AUM tailwind. </w:t>
      </w:r>
      <w:r>
        <w:rPr>
          <w:rFonts w:ascii="Calibri" w:hAnsi="Calibri"/>
          <w:b/>
          <w:color w:val="525866"/>
          <w:sz w:val="22"/>
        </w:rPr>
        <w:t>Net flows remain the wildcard</w:t>
      </w:r>
      <w:r>
        <w:rPr>
          <w:rFonts w:ascii="Calibri" w:hAnsi="Calibri"/>
          <w:color w:val="525866"/>
          <w:sz w:val="22"/>
        </w:rPr>
        <w:t>: Q2 net outflows of $6.5B (per the June AUM release) were better than the $8.2B consensus estimate at the Q1 earnings date, and the June month included a $0.8B net inflow (including a large subadvised equity inflow), which is a rare positive data point for the equity franchise. The stock has rallied ~16% since the Q1 print, outperforming both KCE (+5%) and the S&amp;P 500 (+3%), suggesting much of the AUM upside is already in the price — leaving the print more dependent on fee rate trajectory, expense discipline, and any forward commentary on flows and the Goldman Sachs / FAB partnership launches.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AUM is the biggest positive surprise heading in — June end-of-period AUM of $1.89T is ~6% above the post-Q1 consensus estimate. The bigger swing factor is the </w:t>
      </w:r>
      <w:r>
        <w:rPr>
          <w:rFonts w:ascii="Calibri" w:hAnsi="Calibri"/>
          <w:b/>
          <w:color w:val="525866"/>
          <w:sz w:val="22"/>
        </w:rPr>
        <w:t>effective fee rate</w:t>
      </w:r>
      <w:r>
        <w:rPr>
          <w:rFonts w:ascii="Calibri" w:hAnsi="Calibri"/>
          <w:color w:val="525866"/>
          <w:sz w:val="22"/>
        </w:rPr>
        <w:t>, which has been compressing steadily and where any further downside vs. the 38.2 bps consensus would pressure revenue even with strong AUM.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(Diluted - Operating)</w:t>
            </w:r>
          </w:p>
        </w:tc>
        <w:tc>
          <w:tcPr>
            <w:tcW w:type="dxa" w:w="1234"/>
          </w:tcPr>
          <w:p>
            <w:r>
              <w:rPr>
                <w:rFonts w:ascii="Calibri" w:hAnsi="Calibri"/>
                <w:sz w:val="22"/>
              </w:rPr>
              <w:t>$2.52</w:t>
            </w:r>
          </w:p>
        </w:tc>
        <w:tc>
          <w:tcPr>
            <w:tcW w:type="dxa" w:w="1234"/>
          </w:tcPr>
          <w:p>
            <w:r>
              <w:rPr>
                <w:rFonts w:ascii="Calibri" w:hAnsi="Calibri"/>
                <w:sz w:val="22"/>
              </w:rPr>
              <w:t>$2.24</w:t>
            </w:r>
          </w:p>
        </w:tc>
        <w:tc>
          <w:tcPr>
            <w:tcW w:type="dxa" w:w="1234"/>
          </w:tcPr>
          <w:p>
            <w:r>
              <w:rPr>
                <w:rFonts w:ascii="Calibri" w:hAnsi="Calibri"/>
                <w:sz w:val="22"/>
              </w:rPr>
              <w:t>$2.52</w:t>
            </w:r>
          </w:p>
        </w:tc>
        <w:tc>
          <w:tcPr>
            <w:tcW w:type="dxa" w:w="1234"/>
          </w:tcPr>
          <w:p>
            <w:r>
              <w:rPr>
                <w:rFonts w:ascii="Calibri" w:hAnsi="Calibri"/>
                <w:sz w:val="22"/>
              </w:rPr>
              <w:t>+12.5%</w:t>
            </w:r>
          </w:p>
        </w:tc>
        <w:tc>
          <w:tcPr>
            <w:tcW w:type="dxa" w:w="1234"/>
          </w:tcPr>
          <w:p>
            <w:r>
              <w:rPr>
                <w:rFonts w:ascii="Calibri" w:hAnsi="Calibri"/>
                <w:sz w:val="22"/>
              </w:rPr>
              <w:t>No explicit quarterly EPS guidance</w:t>
            </w:r>
          </w:p>
        </w:tc>
        <w:tc>
          <w:tcPr>
            <w:tcW w:type="dxa" w:w="1234"/>
          </w:tcPr>
          <w:p>
            <w:r>
              <w:rPr>
                <w:rFonts w:ascii="Calibri" w:hAnsi="Calibri"/>
                <w:sz w:val="22"/>
              </w:rPr>
              <w:t>N/A</w:t>
            </w:r>
          </w:p>
        </w:tc>
      </w:tr>
      <w:tr>
        <w:tc>
          <w:tcPr>
            <w:tcW w:type="dxa" w:w="1234"/>
          </w:tcPr>
          <w:p>
            <w:r>
              <w:rPr>
                <w:rFonts w:ascii="Calibri" w:hAnsi="Calibri"/>
                <w:sz w:val="22"/>
              </w:rPr>
              <w:t>Net Revenues - Operating ($B)</w:t>
            </w:r>
          </w:p>
        </w:tc>
        <w:tc>
          <w:tcPr>
            <w:tcW w:type="dxa" w:w="1234"/>
          </w:tcPr>
          <w:p>
            <w:r>
              <w:rPr>
                <w:rFonts w:ascii="Calibri" w:hAnsi="Calibri"/>
                <w:sz w:val="22"/>
              </w:rPr>
              <w:t>$1.861B</w:t>
            </w:r>
          </w:p>
        </w:tc>
        <w:tc>
          <w:tcPr>
            <w:tcW w:type="dxa" w:w="1234"/>
          </w:tcPr>
          <w:p>
            <w:r>
              <w:rPr>
                <w:rFonts w:ascii="Calibri" w:hAnsi="Calibri"/>
                <w:sz w:val="22"/>
              </w:rPr>
              <w:t>$1.762B</w:t>
            </w:r>
          </w:p>
        </w:tc>
        <w:tc>
          <w:tcPr>
            <w:tcW w:type="dxa" w:w="1234"/>
          </w:tcPr>
          <w:p>
            <w:r>
              <w:rPr>
                <w:rFonts w:ascii="Calibri" w:hAnsi="Calibri"/>
                <w:sz w:val="22"/>
              </w:rPr>
              <w:t>$1.930B</w:t>
            </w:r>
          </w:p>
        </w:tc>
        <w:tc>
          <w:tcPr>
            <w:tcW w:type="dxa" w:w="1234"/>
          </w:tcPr>
          <w:p>
            <w:r>
              <w:rPr>
                <w:rFonts w:ascii="Calibri" w:hAnsi="Calibri"/>
                <w:sz w:val="22"/>
              </w:rPr>
              <w:t>+9.5%</w:t>
            </w:r>
          </w:p>
        </w:tc>
        <w:tc>
          <w:tcPr>
            <w:tcW w:type="dxa" w:w="1234"/>
          </w:tcPr>
          <w:p>
            <w:r>
              <w:rPr>
                <w:rFonts w:ascii="Calibri" w:hAnsi="Calibri"/>
                <w:sz w:val="22"/>
              </w:rPr>
              <w:t>No explicit quarterly revenue guidance</w:t>
            </w:r>
          </w:p>
        </w:tc>
        <w:tc>
          <w:tcPr>
            <w:tcW w:type="dxa" w:w="1234"/>
          </w:tcPr>
          <w:p>
            <w:r>
              <w:rPr>
                <w:rFonts w:ascii="Calibri" w:hAnsi="Calibri"/>
                <w:sz w:val="22"/>
              </w:rPr>
              <w:t>N/A</w:t>
            </w:r>
          </w:p>
        </w:tc>
      </w:tr>
      <w:tr>
        <w:tc>
          <w:tcPr>
            <w:tcW w:type="dxa" w:w="1234"/>
          </w:tcPr>
          <w:p>
            <w:r>
              <w:rPr>
                <w:rFonts w:ascii="Calibri" w:hAnsi="Calibri"/>
                <w:sz w:val="22"/>
              </w:rPr>
              <w:t>Total EOP AUM ($T)</w:t>
            </w:r>
          </w:p>
        </w:tc>
        <w:tc>
          <w:tcPr>
            <w:tcW w:type="dxa" w:w="1234"/>
          </w:tcPr>
          <w:p>
            <w:r>
              <w:rPr>
                <w:rFonts w:ascii="Calibri" w:hAnsi="Calibri"/>
                <w:sz w:val="22"/>
              </w:rPr>
              <w:t>$1.710T</w:t>
            </w:r>
          </w:p>
        </w:tc>
        <w:tc>
          <w:tcPr>
            <w:tcW w:type="dxa" w:w="1234"/>
          </w:tcPr>
          <w:p>
            <w:r>
              <w:rPr>
                <w:rFonts w:ascii="Calibri" w:hAnsi="Calibri"/>
                <w:sz w:val="22"/>
              </w:rPr>
              <w:t>$1.677T</w:t>
            </w:r>
          </w:p>
        </w:tc>
        <w:tc>
          <w:tcPr>
            <w:tcW w:type="dxa" w:w="1234"/>
          </w:tcPr>
          <w:p>
            <w:r>
              <w:rPr>
                <w:rFonts w:ascii="Calibri" w:hAnsi="Calibri"/>
                <w:sz w:val="22"/>
              </w:rPr>
              <w:t>$1.889T</w:t>
            </w:r>
          </w:p>
        </w:tc>
        <w:tc>
          <w:tcPr>
            <w:tcW w:type="dxa" w:w="1234"/>
          </w:tcPr>
          <w:p>
            <w:r>
              <w:rPr>
                <w:rFonts w:ascii="Calibri" w:hAnsi="Calibri"/>
                <w:sz w:val="22"/>
              </w:rPr>
              <w:t>+12.6%</w:t>
            </w:r>
          </w:p>
        </w:tc>
        <w:tc>
          <w:tcPr>
            <w:tcW w:type="dxa" w:w="1234"/>
          </w:tcPr>
          <w:p>
            <w:r>
              <w:rPr>
                <w:rFonts w:ascii="Calibri" w:hAnsi="Calibri"/>
                <w:sz w:val="22"/>
              </w:rPr>
              <w:t>No explicit AUM guidance; June actual = $1.893T (reported July 13)</w:t>
            </w:r>
          </w:p>
        </w:tc>
        <w:tc>
          <w:tcPr>
            <w:tcW w:type="dxa" w:w="1234"/>
          </w:tcPr>
          <w:p>
            <w:r>
              <w:rPr>
                <w:rFonts w:ascii="Calibri" w:hAnsi="Calibri"/>
                <w:sz w:val="22"/>
              </w:rPr>
              <w:t>Consensus ~$1.889T vs. actual $1.893T: +0.2%</w:t>
            </w:r>
          </w:p>
        </w:tc>
      </w:tr>
      <w:tr>
        <w:tc>
          <w:tcPr>
            <w:tcW w:type="dxa" w:w="1234"/>
          </w:tcPr>
          <w:p>
            <w:r>
              <w:rPr>
                <w:rFonts w:ascii="Calibri" w:hAnsi="Calibri"/>
                <w:sz w:val="22"/>
              </w:rPr>
              <w:t>Net Flows - Total ($B)</w:t>
            </w:r>
          </w:p>
        </w:tc>
        <w:tc>
          <w:tcPr>
            <w:tcW w:type="dxa" w:w="1234"/>
          </w:tcPr>
          <w:p>
            <w:r>
              <w:rPr>
                <w:rFonts w:ascii="Calibri" w:hAnsi="Calibri"/>
                <w:sz w:val="22"/>
              </w:rPr>
              <w:t>-$13.7B</w:t>
            </w:r>
          </w:p>
        </w:tc>
        <w:tc>
          <w:tcPr>
            <w:tcW w:type="dxa" w:w="1234"/>
          </w:tcPr>
          <w:p>
            <w:r>
              <w:rPr>
                <w:rFonts w:ascii="Calibri" w:hAnsi="Calibri"/>
                <w:sz w:val="22"/>
              </w:rPr>
              <w:t>-$14.9B</w:t>
            </w:r>
          </w:p>
        </w:tc>
        <w:tc>
          <w:tcPr>
            <w:tcW w:type="dxa" w:w="1234"/>
          </w:tcPr>
          <w:p>
            <w:r>
              <w:rPr>
                <w:rFonts w:ascii="Calibri" w:hAnsi="Calibri"/>
                <w:sz w:val="22"/>
              </w:rPr>
              <w:t>-$8.2B</w:t>
            </w:r>
          </w:p>
        </w:tc>
        <w:tc>
          <w:tcPr>
            <w:tcW w:type="dxa" w:w="1234"/>
          </w:tcPr>
          <w:p>
            <w:r>
              <w:rPr>
                <w:rFonts w:ascii="Calibri" w:hAnsi="Calibri"/>
                <w:sz w:val="22"/>
              </w:rPr>
              <w:t>Improvement YoY</w:t>
            </w:r>
          </w:p>
        </w:tc>
        <w:tc>
          <w:tcPr>
            <w:tcW w:type="dxa" w:w="1234"/>
          </w:tcPr>
          <w:p>
            <w:r>
              <w:rPr>
                <w:rFonts w:ascii="Calibri" w:hAnsi="Calibri"/>
                <w:sz w:val="22"/>
              </w:rPr>
              <w:t>No explicit guidance; June actual = -$6.5B for Q2</w:t>
            </w:r>
          </w:p>
        </w:tc>
        <w:tc>
          <w:tcPr>
            <w:tcW w:type="dxa" w:w="1234"/>
          </w:tcPr>
          <w:p>
            <w:r>
              <w:rPr>
                <w:rFonts w:ascii="Calibri" w:hAnsi="Calibri"/>
                <w:sz w:val="22"/>
              </w:rPr>
              <w:t>Actual -$6.5B vs. consensus -$8.2B: ~+21% better</w:t>
            </w:r>
          </w:p>
        </w:tc>
      </w:tr>
      <w:tr>
        <w:tc>
          <w:tcPr>
            <w:tcW w:type="dxa" w:w="1234"/>
          </w:tcPr>
          <w:p>
            <w:r>
              <w:rPr>
                <w:rFonts w:ascii="Calibri" w:hAnsi="Calibri"/>
                <w:sz w:val="22"/>
              </w:rPr>
              <w:t>Effective Fee Rate (bps, ex-perf fees)</w:t>
            </w:r>
          </w:p>
        </w:tc>
        <w:tc>
          <w:tcPr>
            <w:tcW w:type="dxa" w:w="1234"/>
          </w:tcPr>
          <w:p>
            <w:r>
              <w:rPr>
                <w:rFonts w:ascii="Calibri" w:hAnsi="Calibri"/>
                <w:sz w:val="22"/>
              </w:rPr>
              <w:t>38.4 bps</w:t>
            </w:r>
          </w:p>
        </w:tc>
        <w:tc>
          <w:tcPr>
            <w:tcW w:type="dxa" w:w="1234"/>
          </w:tcPr>
          <w:p>
            <w:r>
              <w:rPr>
                <w:rFonts w:ascii="Calibri" w:hAnsi="Calibri"/>
                <w:sz w:val="22"/>
              </w:rPr>
              <w:t>39.6 bps</w:t>
            </w:r>
          </w:p>
        </w:tc>
        <w:tc>
          <w:tcPr>
            <w:tcW w:type="dxa" w:w="1234"/>
          </w:tcPr>
          <w:p>
            <w:r>
              <w:rPr>
                <w:rFonts w:ascii="Calibri" w:hAnsi="Calibri"/>
                <w:sz w:val="22"/>
              </w:rPr>
              <w:t>38.2 bps</w:t>
            </w:r>
          </w:p>
        </w:tc>
        <w:tc>
          <w:tcPr>
            <w:tcW w:type="dxa" w:w="1234"/>
          </w:tcPr>
          <w:p>
            <w:r>
              <w:rPr>
                <w:rFonts w:ascii="Calibri" w:hAnsi="Calibri"/>
                <w:sz w:val="22"/>
              </w:rPr>
              <w:t>-1.4 bps YoY</w:t>
            </w:r>
          </w:p>
        </w:tc>
        <w:tc>
          <w:tcPr>
            <w:tcW w:type="dxa" w:w="1234"/>
          </w:tcPr>
          <w:p>
            <w:r>
              <w:rPr>
                <w:rFonts w:ascii="Calibri" w:hAnsi="Calibri"/>
                <w:sz w:val="22"/>
              </w:rPr>
              <w:t>No explicit guidance; structural compression expected</w:t>
            </w:r>
          </w:p>
        </w:tc>
        <w:tc>
          <w:tcPr>
            <w:tcW w:type="dxa" w:w="1234"/>
          </w:tcPr>
          <w:p>
            <w:r>
              <w:rPr>
                <w:rFonts w:ascii="Calibri" w:hAnsi="Calibri"/>
                <w:sz w:val="22"/>
              </w:rPr>
              <w:t>N/A</w:t>
            </w:r>
          </w:p>
        </w:tc>
      </w:tr>
      <w:tr>
        <w:tc>
          <w:tcPr>
            <w:tcW w:type="dxa" w:w="1234"/>
          </w:tcPr>
          <w:p>
            <w:r>
              <w:rPr>
                <w:rFonts w:ascii="Calibri" w:hAnsi="Calibri"/>
                <w:sz w:val="22"/>
              </w:rPr>
              <w:t>Adj. Operating Expenses ($B, ex-carried interest)</w:t>
            </w:r>
          </w:p>
        </w:tc>
        <w:tc>
          <w:tcPr>
            <w:tcW w:type="dxa" w:w="1234"/>
          </w:tcPr>
          <w:p>
            <w:r>
              <w:rPr>
                <w:rFonts w:ascii="Calibri" w:hAnsi="Calibri"/>
                <w:sz w:val="22"/>
              </w:rPr>
              <w:t>$1.142B</w:t>
            </w:r>
          </w:p>
        </w:tc>
        <w:tc>
          <w:tcPr>
            <w:tcW w:type="dxa" w:w="1234"/>
          </w:tcPr>
          <w:p>
            <w:r>
              <w:rPr>
                <w:rFonts w:ascii="Calibri" w:hAnsi="Calibri"/>
                <w:sz w:val="22"/>
              </w:rPr>
              <w:t>$1.134B</w:t>
            </w:r>
          </w:p>
        </w:tc>
        <w:tc>
          <w:tcPr>
            <w:tcW w:type="dxa" w:w="1234"/>
          </w:tcPr>
          <w:p>
            <w:r>
              <w:rPr>
                <w:rFonts w:ascii="Calibri" w:hAnsi="Calibri"/>
                <w:sz w:val="22"/>
              </w:rPr>
              <w:t>$1.207B</w:t>
            </w:r>
          </w:p>
        </w:tc>
        <w:tc>
          <w:tcPr>
            <w:tcW w:type="dxa" w:w="1234"/>
          </w:tcPr>
          <w:p>
            <w:r>
              <w:rPr>
                <w:rFonts w:ascii="Calibri" w:hAnsi="Calibri"/>
                <w:sz w:val="22"/>
              </w:rPr>
              <w:t>+6.4%</w:t>
            </w:r>
          </w:p>
        </w:tc>
        <w:tc>
          <w:tcPr>
            <w:tcW w:type="dxa" w:w="1234"/>
          </w:tcPr>
          <w:p>
            <w:r>
              <w:rPr>
                <w:rFonts w:ascii="Calibri" w:hAnsi="Calibri"/>
                <w:sz w:val="22"/>
              </w:rPr>
              <w:t>FY2026: +3-6% over 2025 $4.6B base (~$4.74B–4.88B)</w:t>
            </w:r>
          </w:p>
        </w:tc>
        <w:tc>
          <w:tcPr>
            <w:tcW w:type="dxa" w:w="1234"/>
          </w:tcPr>
          <w:p>
            <w:r>
              <w:rPr>
                <w:rFonts w:ascii="Calibri" w:hAnsi="Calibri"/>
                <w:sz w:val="22"/>
              </w:rPr>
              <w:t>Q2 consensus $1.207B implies ~$4.89B annualized; at high end of range</w:t>
            </w:r>
          </w:p>
        </w:tc>
      </w:tr>
      <w:tr>
        <w:tc>
          <w:tcPr>
            <w:tcW w:type="dxa" w:w="1234"/>
          </w:tcPr>
          <w:p>
            <w:r>
              <w:rPr>
                <w:rFonts w:ascii="Calibri" w:hAnsi="Calibri"/>
                <w:sz w:val="22"/>
              </w:rPr>
              <w:t>Adj. Operating Margin (%)</w:t>
            </w:r>
          </w:p>
        </w:tc>
        <w:tc>
          <w:tcPr>
            <w:tcW w:type="dxa" w:w="1234"/>
          </w:tcPr>
          <w:p>
            <w:r>
              <w:rPr>
                <w:rFonts w:ascii="Calibri" w:hAnsi="Calibri"/>
                <w:sz w:val="22"/>
              </w:rPr>
              <w:t>37.9%</w:t>
            </w:r>
          </w:p>
        </w:tc>
        <w:tc>
          <w:tcPr>
            <w:tcW w:type="dxa" w:w="1234"/>
          </w:tcPr>
          <w:p>
            <w:r>
              <w:rPr>
                <w:rFonts w:ascii="Calibri" w:hAnsi="Calibri"/>
                <w:sz w:val="22"/>
              </w:rPr>
              <w:t>34.9%</w:t>
            </w:r>
          </w:p>
        </w:tc>
        <w:tc>
          <w:tcPr>
            <w:tcW w:type="dxa" w:w="1234"/>
          </w:tcPr>
          <w:p>
            <w:r>
              <w:rPr>
                <w:rFonts w:ascii="Calibri" w:hAnsi="Calibri"/>
                <w:sz w:val="22"/>
              </w:rPr>
              <w:t>37.1%</w:t>
            </w:r>
          </w:p>
        </w:tc>
        <w:tc>
          <w:tcPr>
            <w:tcW w:type="dxa" w:w="1234"/>
          </w:tcPr>
          <w:p>
            <w:r>
              <w:rPr>
                <w:rFonts w:ascii="Calibri" w:hAnsi="Calibri"/>
                <w:sz w:val="22"/>
              </w:rPr>
              <w:t>+220 bps YoY</w:t>
            </w:r>
          </w:p>
        </w:tc>
        <w:tc>
          <w:tcPr>
            <w:tcW w:type="dxa" w:w="1234"/>
          </w:tcPr>
          <w:p>
            <w:r>
              <w:rPr>
                <w:rFonts w:ascii="Calibri" w:hAnsi="Calibri"/>
                <w:sz w:val="22"/>
              </w:rPr>
              <w:t>No explicit margin guidance</w:t>
            </w:r>
          </w:p>
        </w:tc>
        <w:tc>
          <w:tcPr>
            <w:tcW w:type="dxa" w:w="1234"/>
          </w:tcPr>
          <w:p>
            <w:r>
              <w:rPr>
                <w:rFonts w:ascii="Calibri" w:hAnsi="Calibri"/>
                <w:sz w:val="22"/>
              </w:rPr>
              <w:t>N/A</w:t>
            </w:r>
          </w:p>
        </w:tc>
      </w:tr>
    </w:tbl>
    <w:p>
      <w:r>
        <w:rPr>
          <w:rFonts w:ascii="Calibri" w:hAnsi="Calibri"/>
          <w:color w:val="525866"/>
          <w:sz w:val="22"/>
        </w:rPr>
        <w:t>Source: Visible Alpha Consensus and Actuals Data; T. Rowe Price June 2026 AUM Press Release (July 13, 2026); T. Rowe Price Q1 2026 Earnings Release (April 30, 2026).</w:t>
      </w:r>
    </w:p>
    <w:p>
      <w:pPr>
        <w:pStyle w:val="Heading3"/>
      </w:pPr>
      <w:r>
        <w:rPr>
          <w:rFonts w:ascii="Calibri" w:hAnsi="Calibri"/>
          <w:b/>
          <w:color w:val="3B4259"/>
          <w:sz w:val="24"/>
        </w:rPr>
        <w:t>Table 2 — Beat/Miss History: Last 8 Quarters (Top 2 KPIs: Adj. EPS &amp; Net Flows)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Adj. 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Net Flows Reported ($B)</w:t>
            </w:r>
          </w:p>
        </w:tc>
        <w:tc>
          <w:tcPr>
            <w:tcW w:type="dxa" w:w="960"/>
            <w:shd w:val="clear" w:color="auto" w:fill="3B4259"/>
          </w:tcPr>
          <w:p>
            <w:r>
              <w:rPr>
                <w:rFonts w:ascii="Calibri" w:hAnsi="Calibri"/>
                <w:b/>
                <w:color w:val="FFFFFF"/>
                <w:sz w:val="22"/>
              </w:rPr>
              <w:t>Net Flows Consensus ($B)</w:t>
            </w:r>
          </w:p>
        </w:tc>
        <w:tc>
          <w:tcPr>
            <w:tcW w:type="dxa" w:w="960"/>
            <w:shd w:val="clear" w:color="auto" w:fill="3B4259"/>
          </w:tcPr>
          <w:p>
            <w:r>
              <w:rPr>
                <w:rFonts w:ascii="Calibri" w:hAnsi="Calibri"/>
                <w:b/>
                <w:color w:val="FFFFFF"/>
                <w:sz w:val="22"/>
              </w:rPr>
              <w:t>Flows Surprise</w:t>
            </w:r>
          </w:p>
        </w:tc>
        <w:tc>
          <w:tcPr>
            <w:tcW w:type="dxa" w:w="960"/>
            <w:shd w:val="clear" w:color="auto" w:fill="3B4259"/>
          </w:tcPr>
          <w:p>
            <w:r>
              <w:rPr>
                <w:rFonts w:ascii="Calibri" w:hAnsi="Calibri"/>
                <w:b/>
                <w:color w:val="FFFFFF"/>
                <w:sz w:val="22"/>
              </w:rPr>
              <w:t>Flows Result</w:t>
            </w:r>
          </w:p>
        </w:tc>
      </w:tr>
      <w:tr>
        <w:tc>
          <w:tcPr>
            <w:tcW w:type="dxa" w:w="960"/>
          </w:tcPr>
          <w:p>
            <w:r>
              <w:rPr>
                <w:rFonts w:ascii="Calibri" w:hAnsi="Calibri"/>
                <w:sz w:val="22"/>
              </w:rPr>
              <w:t>Q1 2026</w:t>
            </w:r>
          </w:p>
        </w:tc>
        <w:tc>
          <w:tcPr>
            <w:tcW w:type="dxa" w:w="960"/>
          </w:tcPr>
          <w:p>
            <w:r>
              <w:rPr>
                <w:rFonts w:ascii="Calibri" w:hAnsi="Calibri"/>
                <w:sz w:val="22"/>
              </w:rPr>
              <w:t>$2.52</w:t>
            </w:r>
          </w:p>
        </w:tc>
        <w:tc>
          <w:tcPr>
            <w:tcW w:type="dxa" w:w="960"/>
          </w:tcPr>
          <w:p>
            <w:r>
              <w:rPr>
                <w:rFonts w:ascii="Calibri" w:hAnsi="Calibri"/>
                <w:sz w:val="22"/>
              </w:rPr>
              <w:t>$2.35</w:t>
            </w:r>
          </w:p>
        </w:tc>
        <w:tc>
          <w:tcPr>
            <w:tcW w:type="dxa" w:w="960"/>
          </w:tcPr>
          <w:p>
            <w:r>
              <w:rPr>
                <w:rFonts w:ascii="Calibri" w:hAnsi="Calibri"/>
                <w:b/>
                <w:color w:val="30A46C"/>
                <w:sz w:val="22"/>
              </w:rPr>
              <w:t>+7.2%</w:t>
            </w:r>
          </w:p>
        </w:tc>
        <w:tc>
          <w:tcPr>
            <w:tcW w:type="dxa" w:w="960"/>
          </w:tcPr>
          <w:p>
            <w:r>
              <w:rPr>
                <w:rFonts w:ascii="Calibri" w:hAnsi="Calibri"/>
                <w:b/>
                <w:color w:val="30A46C"/>
                <w:sz w:val="22"/>
              </w:rPr>
              <w:t>Beat</w:t>
            </w:r>
          </w:p>
        </w:tc>
        <w:tc>
          <w:tcPr>
            <w:tcW w:type="dxa" w:w="960"/>
          </w:tcPr>
          <w:p>
            <w:r>
              <w:rPr>
                <w:rFonts w:ascii="Calibri" w:hAnsi="Calibri"/>
                <w:sz w:val="22"/>
              </w:rPr>
              <w:t>-$13.7B</w:t>
            </w:r>
          </w:p>
        </w:tc>
        <w:tc>
          <w:tcPr>
            <w:tcW w:type="dxa" w:w="960"/>
          </w:tcPr>
          <w:p>
            <w:r>
              <w:rPr>
                <w:rFonts w:ascii="Calibri" w:hAnsi="Calibri"/>
                <w:sz w:val="22"/>
              </w:rPr>
              <w:t>-$16.9B</w:t>
            </w:r>
          </w:p>
        </w:tc>
        <w:tc>
          <w:tcPr>
            <w:tcW w:type="dxa" w:w="960"/>
          </w:tcPr>
          <w:p>
            <w:r>
              <w:rPr>
                <w:rFonts w:ascii="Calibri" w:hAnsi="Calibri"/>
                <w:sz w:val="22"/>
              </w:rPr>
              <w:t>+$3.2B better</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$2.44</w:t>
            </w:r>
          </w:p>
        </w:tc>
        <w:tc>
          <w:tcPr>
            <w:tcW w:type="dxa" w:w="960"/>
          </w:tcPr>
          <w:p>
            <w:r>
              <w:rPr>
                <w:rFonts w:ascii="Calibri" w:hAnsi="Calibri"/>
                <w:sz w:val="22"/>
              </w:rPr>
              <w:t>$2.48</w:t>
            </w:r>
          </w:p>
        </w:tc>
        <w:tc>
          <w:tcPr>
            <w:tcW w:type="dxa" w:w="960"/>
          </w:tcPr>
          <w:p>
            <w:r>
              <w:rPr>
                <w:rFonts w:ascii="Calibri" w:hAnsi="Calibri"/>
                <w:b/>
                <w:color w:val="E5484D"/>
                <w:sz w:val="22"/>
              </w:rPr>
              <w:t>-1.6%</w:t>
            </w:r>
          </w:p>
        </w:tc>
        <w:tc>
          <w:tcPr>
            <w:tcW w:type="dxa" w:w="960"/>
          </w:tcPr>
          <w:p>
            <w:r>
              <w:rPr>
                <w:rFonts w:ascii="Calibri" w:hAnsi="Calibri"/>
                <w:b/>
                <w:color w:val="E5484D"/>
                <w:sz w:val="22"/>
              </w:rPr>
              <w:t>Miss</w:t>
            </w:r>
          </w:p>
        </w:tc>
        <w:tc>
          <w:tcPr>
            <w:tcW w:type="dxa" w:w="960"/>
          </w:tcPr>
          <w:p>
            <w:r>
              <w:rPr>
                <w:rFonts w:ascii="Calibri" w:hAnsi="Calibri"/>
                <w:sz w:val="22"/>
              </w:rPr>
              <w:t>-$25.5B</w:t>
            </w:r>
          </w:p>
        </w:tc>
        <w:tc>
          <w:tcPr>
            <w:tcW w:type="dxa" w:w="960"/>
          </w:tcPr>
          <w:p>
            <w:r>
              <w:rPr>
                <w:rFonts w:ascii="Calibri" w:hAnsi="Calibri"/>
                <w:sz w:val="22"/>
              </w:rPr>
              <w:t>-$24.1B</w:t>
            </w:r>
          </w:p>
        </w:tc>
        <w:tc>
          <w:tcPr>
            <w:tcW w:type="dxa" w:w="960"/>
          </w:tcPr>
          <w:p>
            <w:r>
              <w:rPr>
                <w:rFonts w:ascii="Calibri" w:hAnsi="Calibri"/>
                <w:sz w:val="22"/>
              </w:rPr>
              <w:t>-$1.4B worse</w:t>
            </w:r>
          </w:p>
        </w:tc>
        <w:tc>
          <w:tcPr>
            <w:tcW w:type="dxa" w:w="960"/>
          </w:tcPr>
          <w:p>
            <w:r>
              <w:rPr>
                <w:rFonts w:ascii="Calibri" w:hAnsi="Calibri"/>
                <w:b/>
                <w:color w:val="E5484D"/>
                <w:sz w:val="22"/>
              </w:rPr>
              <w:t>Miss</w:t>
            </w:r>
          </w:p>
        </w:tc>
      </w:tr>
      <w:tr>
        <w:tc>
          <w:tcPr>
            <w:tcW w:type="dxa" w:w="960"/>
          </w:tcPr>
          <w:p>
            <w:r>
              <w:rPr>
                <w:rFonts w:ascii="Calibri" w:hAnsi="Calibri"/>
                <w:sz w:val="22"/>
              </w:rPr>
              <w:t>Q3 2025</w:t>
            </w:r>
          </w:p>
        </w:tc>
        <w:tc>
          <w:tcPr>
            <w:tcW w:type="dxa" w:w="960"/>
          </w:tcPr>
          <w:p>
            <w:r>
              <w:rPr>
                <w:rFonts w:ascii="Calibri" w:hAnsi="Calibri"/>
                <w:sz w:val="22"/>
              </w:rPr>
              <w:t>$2.81</w:t>
            </w:r>
          </w:p>
        </w:tc>
        <w:tc>
          <w:tcPr>
            <w:tcW w:type="dxa" w:w="960"/>
          </w:tcPr>
          <w:p>
            <w:r>
              <w:rPr>
                <w:rFonts w:ascii="Calibri" w:hAnsi="Calibri"/>
                <w:sz w:val="22"/>
              </w:rPr>
              <w:t>$2.55</w:t>
            </w:r>
          </w:p>
        </w:tc>
        <w:tc>
          <w:tcPr>
            <w:tcW w:type="dxa" w:w="960"/>
          </w:tcPr>
          <w:p>
            <w:r>
              <w:rPr>
                <w:rFonts w:ascii="Calibri" w:hAnsi="Calibri"/>
                <w:b/>
                <w:color w:val="30A46C"/>
                <w:sz w:val="22"/>
              </w:rPr>
              <w:t>+10.2%</w:t>
            </w:r>
          </w:p>
        </w:tc>
        <w:tc>
          <w:tcPr>
            <w:tcW w:type="dxa" w:w="960"/>
          </w:tcPr>
          <w:p>
            <w:r>
              <w:rPr>
                <w:rFonts w:ascii="Calibri" w:hAnsi="Calibri"/>
                <w:b/>
                <w:color w:val="30A46C"/>
                <w:sz w:val="22"/>
              </w:rPr>
              <w:t>Beat</w:t>
            </w:r>
          </w:p>
        </w:tc>
        <w:tc>
          <w:tcPr>
            <w:tcW w:type="dxa" w:w="960"/>
          </w:tcPr>
          <w:p>
            <w:r>
              <w:rPr>
                <w:rFonts w:ascii="Calibri" w:hAnsi="Calibri"/>
                <w:sz w:val="22"/>
              </w:rPr>
              <w:t>-$7.9B</w:t>
            </w:r>
          </w:p>
        </w:tc>
        <w:tc>
          <w:tcPr>
            <w:tcW w:type="dxa" w:w="960"/>
          </w:tcPr>
          <w:p>
            <w:r>
              <w:rPr>
                <w:rFonts w:ascii="Calibri" w:hAnsi="Calibri"/>
                <w:sz w:val="22"/>
              </w:rPr>
              <w:t>-$8.6B</w:t>
            </w:r>
          </w:p>
        </w:tc>
        <w:tc>
          <w:tcPr>
            <w:tcW w:type="dxa" w:w="960"/>
          </w:tcPr>
          <w:p>
            <w:r>
              <w:rPr>
                <w:rFonts w:ascii="Calibri" w:hAnsi="Calibri"/>
                <w:sz w:val="22"/>
              </w:rPr>
              <w:t>+$0.7B better</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$2.24</w:t>
            </w:r>
          </w:p>
        </w:tc>
        <w:tc>
          <w:tcPr>
            <w:tcW w:type="dxa" w:w="960"/>
          </w:tcPr>
          <w:p>
            <w:r>
              <w:rPr>
                <w:rFonts w:ascii="Calibri" w:hAnsi="Calibri"/>
                <w:sz w:val="22"/>
              </w:rPr>
              <w:t>$2.15</w:t>
            </w:r>
          </w:p>
        </w:tc>
        <w:tc>
          <w:tcPr>
            <w:tcW w:type="dxa" w:w="960"/>
          </w:tcPr>
          <w:p>
            <w:r>
              <w:rPr>
                <w:rFonts w:ascii="Calibri" w:hAnsi="Calibri"/>
                <w:b/>
                <w:color w:val="30A46C"/>
                <w:sz w:val="22"/>
              </w:rPr>
              <w:t>+4.2%</w:t>
            </w:r>
          </w:p>
        </w:tc>
        <w:tc>
          <w:tcPr>
            <w:tcW w:type="dxa" w:w="960"/>
          </w:tcPr>
          <w:p>
            <w:r>
              <w:rPr>
                <w:rFonts w:ascii="Calibri" w:hAnsi="Calibri"/>
                <w:b/>
                <w:color w:val="30A46C"/>
                <w:sz w:val="22"/>
              </w:rPr>
              <w:t>Beat</w:t>
            </w:r>
          </w:p>
        </w:tc>
        <w:tc>
          <w:tcPr>
            <w:tcW w:type="dxa" w:w="960"/>
          </w:tcPr>
          <w:p>
            <w:r>
              <w:rPr>
                <w:rFonts w:ascii="Calibri" w:hAnsi="Calibri"/>
                <w:sz w:val="22"/>
              </w:rPr>
              <w:t>-$14.9B</w:t>
            </w:r>
          </w:p>
        </w:tc>
        <w:tc>
          <w:tcPr>
            <w:tcW w:type="dxa" w:w="960"/>
          </w:tcPr>
          <w:p>
            <w:r>
              <w:rPr>
                <w:rFonts w:ascii="Calibri" w:hAnsi="Calibri"/>
                <w:sz w:val="22"/>
              </w:rPr>
              <w:t>-$12.6B</w:t>
            </w:r>
          </w:p>
        </w:tc>
        <w:tc>
          <w:tcPr>
            <w:tcW w:type="dxa" w:w="960"/>
          </w:tcPr>
          <w:p>
            <w:r>
              <w:rPr>
                <w:rFonts w:ascii="Calibri" w:hAnsi="Calibri"/>
                <w:sz w:val="22"/>
              </w:rPr>
              <w:t>-$2.3B worse</w:t>
            </w:r>
          </w:p>
        </w:tc>
        <w:tc>
          <w:tcPr>
            <w:tcW w:type="dxa" w:w="960"/>
          </w:tcPr>
          <w:p>
            <w:r>
              <w:rPr>
                <w:rFonts w:ascii="Calibri" w:hAnsi="Calibri"/>
                <w:b/>
                <w:color w:val="E5484D"/>
                <w:sz w:val="22"/>
              </w:rPr>
              <w:t>Miss</w:t>
            </w:r>
          </w:p>
        </w:tc>
      </w:tr>
      <w:tr>
        <w:tc>
          <w:tcPr>
            <w:tcW w:type="dxa" w:w="960"/>
          </w:tcPr>
          <w:p>
            <w:r>
              <w:rPr>
                <w:rFonts w:ascii="Calibri" w:hAnsi="Calibri"/>
                <w:sz w:val="22"/>
              </w:rPr>
              <w:t>Q1 2025</w:t>
            </w:r>
          </w:p>
        </w:tc>
        <w:tc>
          <w:tcPr>
            <w:tcW w:type="dxa" w:w="960"/>
          </w:tcPr>
          <w:p>
            <w:r>
              <w:rPr>
                <w:rFonts w:ascii="Calibri" w:hAnsi="Calibri"/>
                <w:sz w:val="22"/>
              </w:rPr>
              <w:t>$2.23</w:t>
            </w:r>
          </w:p>
        </w:tc>
        <w:tc>
          <w:tcPr>
            <w:tcW w:type="dxa" w:w="960"/>
          </w:tcPr>
          <w:p>
            <w:r>
              <w:rPr>
                <w:rFonts w:ascii="Calibri" w:hAnsi="Calibri"/>
                <w:sz w:val="22"/>
              </w:rPr>
              <w:t>$2.14</w:t>
            </w:r>
          </w:p>
        </w:tc>
        <w:tc>
          <w:tcPr>
            <w:tcW w:type="dxa" w:w="960"/>
          </w:tcPr>
          <w:p>
            <w:r>
              <w:rPr>
                <w:rFonts w:ascii="Calibri" w:hAnsi="Calibri"/>
                <w:b/>
                <w:color w:val="30A46C"/>
                <w:sz w:val="22"/>
              </w:rPr>
              <w:t>+4.2%</w:t>
            </w:r>
          </w:p>
        </w:tc>
        <w:tc>
          <w:tcPr>
            <w:tcW w:type="dxa" w:w="960"/>
          </w:tcPr>
          <w:p>
            <w:r>
              <w:rPr>
                <w:rFonts w:ascii="Calibri" w:hAnsi="Calibri"/>
                <w:b/>
                <w:color w:val="30A46C"/>
                <w:sz w:val="22"/>
              </w:rPr>
              <w:t>Beat</w:t>
            </w:r>
          </w:p>
        </w:tc>
        <w:tc>
          <w:tcPr>
            <w:tcW w:type="dxa" w:w="960"/>
          </w:tcPr>
          <w:p>
            <w:r>
              <w:rPr>
                <w:rFonts w:ascii="Calibri" w:hAnsi="Calibri"/>
                <w:sz w:val="22"/>
              </w:rPr>
              <w:t>-$8.6B</w:t>
            </w:r>
          </w:p>
        </w:tc>
        <w:tc>
          <w:tcPr>
            <w:tcW w:type="dxa" w:w="960"/>
          </w:tcPr>
          <w:p>
            <w:r>
              <w:rPr>
                <w:rFonts w:ascii="Calibri" w:hAnsi="Calibri"/>
                <w:sz w:val="22"/>
              </w:rPr>
              <w:t>-$9.5B</w:t>
            </w:r>
          </w:p>
        </w:tc>
        <w:tc>
          <w:tcPr>
            <w:tcW w:type="dxa" w:w="960"/>
          </w:tcPr>
          <w:p>
            <w:r>
              <w:rPr>
                <w:rFonts w:ascii="Calibri" w:hAnsi="Calibri"/>
                <w:sz w:val="22"/>
              </w:rPr>
              <w:t>+$0.9B better</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$2.12</w:t>
            </w:r>
          </w:p>
        </w:tc>
        <w:tc>
          <w:tcPr>
            <w:tcW w:type="dxa" w:w="960"/>
          </w:tcPr>
          <w:p>
            <w:r>
              <w:rPr>
                <w:rFonts w:ascii="Calibri" w:hAnsi="Calibri"/>
                <w:sz w:val="22"/>
              </w:rPr>
              <w:t>$2.20</w:t>
            </w:r>
          </w:p>
        </w:tc>
        <w:tc>
          <w:tcPr>
            <w:tcW w:type="dxa" w:w="960"/>
          </w:tcPr>
          <w:p>
            <w:r>
              <w:rPr>
                <w:rFonts w:ascii="Calibri" w:hAnsi="Calibri"/>
                <w:b/>
                <w:color w:val="E5484D"/>
                <w:sz w:val="22"/>
              </w:rPr>
              <w:t>-3.6%</w:t>
            </w:r>
          </w:p>
        </w:tc>
        <w:tc>
          <w:tcPr>
            <w:tcW w:type="dxa" w:w="960"/>
          </w:tcPr>
          <w:p>
            <w:r>
              <w:rPr>
                <w:rFonts w:ascii="Calibri" w:hAnsi="Calibri"/>
                <w:b/>
                <w:color w:val="E5484D"/>
                <w:sz w:val="22"/>
              </w:rPr>
              <w:t>Miss</w:t>
            </w:r>
          </w:p>
        </w:tc>
        <w:tc>
          <w:tcPr>
            <w:tcW w:type="dxa" w:w="960"/>
          </w:tcPr>
          <w:p>
            <w:r>
              <w:rPr>
                <w:rFonts w:ascii="Calibri" w:hAnsi="Calibri"/>
                <w:sz w:val="22"/>
              </w:rPr>
              <w:t>-$19.3B</w:t>
            </w:r>
          </w:p>
        </w:tc>
        <w:tc>
          <w:tcPr>
            <w:tcW w:type="dxa" w:w="960"/>
          </w:tcPr>
          <w:p>
            <w:r>
              <w:rPr>
                <w:rFonts w:ascii="Calibri" w:hAnsi="Calibri"/>
                <w:sz w:val="22"/>
              </w:rPr>
              <w:t>-$21.1B</w:t>
            </w:r>
          </w:p>
        </w:tc>
        <w:tc>
          <w:tcPr>
            <w:tcW w:type="dxa" w:w="960"/>
          </w:tcPr>
          <w:p>
            <w:r>
              <w:rPr>
                <w:rFonts w:ascii="Calibri" w:hAnsi="Calibri"/>
                <w:sz w:val="22"/>
              </w:rPr>
              <w:t>+$1.8B better</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$2.57</w:t>
            </w:r>
          </w:p>
        </w:tc>
        <w:tc>
          <w:tcPr>
            <w:tcW w:type="dxa" w:w="960"/>
          </w:tcPr>
          <w:p>
            <w:r>
              <w:rPr>
                <w:rFonts w:ascii="Calibri" w:hAnsi="Calibri"/>
                <w:sz w:val="22"/>
              </w:rPr>
              <w:t>$2.35</w:t>
            </w:r>
          </w:p>
        </w:tc>
        <w:tc>
          <w:tcPr>
            <w:tcW w:type="dxa" w:w="960"/>
          </w:tcPr>
          <w:p>
            <w:r>
              <w:rPr>
                <w:rFonts w:ascii="Calibri" w:hAnsi="Calibri"/>
                <w:b/>
                <w:color w:val="30A46C"/>
                <w:sz w:val="22"/>
              </w:rPr>
              <w:t>+9.4%</w:t>
            </w:r>
          </w:p>
        </w:tc>
        <w:tc>
          <w:tcPr>
            <w:tcW w:type="dxa" w:w="960"/>
          </w:tcPr>
          <w:p>
            <w:r>
              <w:rPr>
                <w:rFonts w:ascii="Calibri" w:hAnsi="Calibri"/>
                <w:b/>
                <w:color w:val="30A46C"/>
                <w:sz w:val="22"/>
              </w:rPr>
              <w:t>Beat</w:t>
            </w:r>
          </w:p>
        </w:tc>
        <w:tc>
          <w:tcPr>
            <w:tcW w:type="dxa" w:w="960"/>
          </w:tcPr>
          <w:p>
            <w:r>
              <w:rPr>
                <w:rFonts w:ascii="Calibri" w:hAnsi="Calibri"/>
                <w:sz w:val="22"/>
              </w:rPr>
              <w:t>-$12.2B</w:t>
            </w:r>
          </w:p>
        </w:tc>
        <w:tc>
          <w:tcPr>
            <w:tcW w:type="dxa" w:w="960"/>
          </w:tcPr>
          <w:p>
            <w:r>
              <w:rPr>
                <w:rFonts w:ascii="Calibri" w:hAnsi="Calibri"/>
                <w:sz w:val="22"/>
              </w:rPr>
              <w:t>-$12.4B</w:t>
            </w:r>
          </w:p>
        </w:tc>
        <w:tc>
          <w:tcPr>
            <w:tcW w:type="dxa" w:w="960"/>
          </w:tcPr>
          <w:p>
            <w:r>
              <w:rPr>
                <w:rFonts w:ascii="Calibri" w:hAnsi="Calibri"/>
                <w:sz w:val="22"/>
              </w:rPr>
              <w:t>+$0.2B better</w:t>
            </w:r>
          </w:p>
        </w:tc>
        <w:tc>
          <w:tcPr>
            <w:tcW w:type="dxa" w:w="960"/>
          </w:tcPr>
          <w:p>
            <w:r>
              <w:rPr>
                <w:rFonts w:ascii="Calibri" w:hAnsi="Calibri"/>
                <w:b/>
                <w:color w:val="30A46C"/>
                <w:sz w:val="22"/>
              </w:rPr>
              <w:t>Beat</w:t>
            </w:r>
          </w:p>
        </w:tc>
      </w:tr>
      <w:tr>
        <w:tc>
          <w:tcPr>
            <w:tcW w:type="dxa" w:w="960"/>
          </w:tcPr>
          <w:p>
            <w:r>
              <w:rPr>
                <w:rFonts w:ascii="Calibri" w:hAnsi="Calibri"/>
                <w:sz w:val="22"/>
              </w:rPr>
              <w:t>Q2 2024</w:t>
            </w:r>
          </w:p>
        </w:tc>
        <w:tc>
          <w:tcPr>
            <w:tcW w:type="dxa" w:w="960"/>
          </w:tcPr>
          <w:p>
            <w:r>
              <w:rPr>
                <w:rFonts w:ascii="Calibri" w:hAnsi="Calibri"/>
                <w:sz w:val="22"/>
              </w:rPr>
              <w:t>N/A — prior to 8Q window</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Pattern: TROW has beaten adjusted EPS consensus in 5 of the last 7 reported quarters, typically driven by expense management and lower-than-expected tax rates. Net flows have beaten (i.e., been less negative than) consensus in 5 of 7 quarters, though the magnitude of outflows remains structurally elevated.</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(April 30, 2026). Management reaffirmed the +3–6% expense growth range as "comfortably within range" despite market volatility, and tone on alternatives and partnerships shifted to execution mode. No post-earnings 8-K or conference has revised any financial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Operating Expenses (ex-carried interest)</w:t>
            </w:r>
          </w:p>
        </w:tc>
        <w:tc>
          <w:tcPr>
            <w:tcW w:type="dxa" w:w="1728"/>
          </w:tcPr>
          <w:p>
            <w:r>
              <w:rPr>
                <w:rFonts w:ascii="Calibri" w:hAnsi="Calibri"/>
                <w:sz w:val="22"/>
              </w:rPr>
              <w:t>+3% to +6% over 2025 adjusted base of $4.6B (~$4.74B–$4.88B)</w:t>
            </w:r>
          </w:p>
        </w:tc>
        <w:tc>
          <w:tcPr>
            <w:tcW w:type="dxa" w:w="1728"/>
          </w:tcPr>
          <w:p>
            <w:r>
              <w:rPr>
                <w:rFonts w:ascii="Calibri" w:hAnsi="Calibri"/>
                <w:sz w:val="22"/>
              </w:rPr>
              <w:t>—</w:t>
            </w:r>
          </w:p>
        </w:tc>
        <w:tc>
          <w:tcPr>
            <w:tcW w:type="dxa" w:w="1728"/>
          </w:tcPr>
          <w:p>
            <w:r>
              <w:rPr>
                <w:rFonts w:ascii="Calibri" w:hAnsi="Calibri"/>
                <w:sz w:val="22"/>
              </w:rPr>
              <w:t>$4.889B (full-year consensus)</w:t>
            </w:r>
          </w:p>
        </w:tc>
        <w:tc>
          <w:tcPr>
            <w:tcW w:type="dxa" w:w="1728"/>
          </w:tcPr>
          <w:p>
            <w:r>
              <w:rPr>
                <w:rFonts w:ascii="Calibri" w:hAnsi="Calibri"/>
                <w:sz w:val="22"/>
              </w:rPr>
              <w:t>Unchanged; management noted forecast "comfortably within range" despite Q1 market volatility. Consensus sits at the high end of the guided range.</w:t>
            </w:r>
          </w:p>
        </w:tc>
      </w:tr>
      <w:tr>
        <w:tc>
          <w:tcPr>
            <w:tcW w:type="dxa" w:w="1728"/>
          </w:tcPr>
          <w:p>
            <w:r>
              <w:rPr>
                <w:rFonts w:ascii="Calibri" w:hAnsi="Calibri"/>
                <w:sz w:val="22"/>
              </w:rPr>
              <w:t>Effective Fee Rate</w:t>
            </w:r>
          </w:p>
        </w:tc>
        <w:tc>
          <w:tcPr>
            <w:tcW w:type="dxa" w:w="1728"/>
          </w:tcPr>
          <w:p>
            <w:r>
              <w:rPr>
                <w:rFonts w:ascii="Calibri" w:hAnsi="Calibri"/>
                <w:sz w:val="22"/>
              </w:rPr>
              <w:t>Continued structural compression expected; driven by blend Target Date growth and equity outflows</w:t>
            </w:r>
          </w:p>
        </w:tc>
        <w:tc>
          <w:tcPr>
            <w:tcW w:type="dxa" w:w="1728"/>
          </w:tcPr>
          <w:p>
            <w:r>
              <w:rPr>
                <w:rFonts w:ascii="Calibri" w:hAnsi="Calibri"/>
                <w:sz w:val="22"/>
              </w:rPr>
              <w:t>—</w:t>
            </w:r>
          </w:p>
        </w:tc>
        <w:tc>
          <w:tcPr>
            <w:tcW w:type="dxa" w:w="1728"/>
          </w:tcPr>
          <w:p>
            <w:r>
              <w:rPr>
                <w:rFonts w:ascii="Calibri" w:hAnsi="Calibri"/>
                <w:sz w:val="22"/>
              </w:rPr>
              <w:t>38.2 bps (Q2 2026 consensus)</w:t>
            </w:r>
          </w:p>
        </w:tc>
        <w:tc>
          <w:tcPr>
            <w:tcW w:type="dxa" w:w="1728"/>
          </w:tcPr>
          <w:p>
            <w:r>
              <w:rPr>
                <w:rFonts w:ascii="Calibri" w:hAnsi="Calibri"/>
                <w:sz w:val="22"/>
              </w:rPr>
              <w:t>No change in tone; compression trend intact. Consensus implies modest sequential decline from Q1’s 38.4 bps.</w:t>
            </w:r>
          </w:p>
        </w:tc>
      </w:tr>
      <w:tr>
        <w:tc>
          <w:tcPr>
            <w:tcW w:type="dxa" w:w="1728"/>
          </w:tcPr>
          <w:p>
            <w:r>
              <w:rPr>
                <w:rFonts w:ascii="Calibri" w:hAnsi="Calibri"/>
                <w:sz w:val="22"/>
              </w:rPr>
              <w:t>Net Flows</w:t>
            </w:r>
          </w:p>
        </w:tc>
        <w:tc>
          <w:tcPr>
            <w:tcW w:type="dxa" w:w="1728"/>
          </w:tcPr>
          <w:p>
            <w:r>
              <w:rPr>
                <w:rFonts w:ascii="Calibri" w:hAnsi="Calibri"/>
                <w:sz w:val="22"/>
              </w:rPr>
              <w:t>Continued pressure in equities; positive flows in multi-asset, fixed income, alternatives, ETFs</w:t>
            </w:r>
          </w:p>
        </w:tc>
        <w:tc>
          <w:tcPr>
            <w:tcW w:type="dxa" w:w="1728"/>
          </w:tcPr>
          <w:p>
            <w:r>
              <w:rPr>
                <w:rFonts w:ascii="Calibri" w:hAnsi="Calibri"/>
                <w:sz w:val="22"/>
              </w:rPr>
              <w:t>—</w:t>
            </w:r>
          </w:p>
        </w:tc>
        <w:tc>
          <w:tcPr>
            <w:tcW w:type="dxa" w:w="1728"/>
          </w:tcPr>
          <w:p>
            <w:r>
              <w:rPr>
                <w:rFonts w:ascii="Calibri" w:hAnsi="Calibri"/>
                <w:sz w:val="22"/>
              </w:rPr>
              <w:t>-$8.2B (Q2 2026 consensus at Q1 earnings date); actual Q2 = -$6.5B per June AUM release</w:t>
            </w:r>
          </w:p>
        </w:tc>
        <w:tc>
          <w:tcPr>
            <w:tcW w:type="dxa" w:w="1728"/>
          </w:tcPr>
          <w:p>
            <w:r>
              <w:rPr>
                <w:rFonts w:ascii="Calibri" w:hAnsi="Calibri"/>
                <w:sz w:val="22"/>
              </w:rPr>
              <w:t>June AUM release (July 13) confirmed Q2 net outflows of -$6.5B, better than consensus. June alone saw +$0.8B net inflows including a large subadvised equity inflow.</w:t>
            </w:r>
          </w:p>
        </w:tc>
      </w:tr>
      <w:tr>
        <w:tc>
          <w:tcPr>
            <w:tcW w:type="dxa" w:w="1728"/>
          </w:tcPr>
          <w:p>
            <w:r>
              <w:rPr>
                <w:rFonts w:ascii="Calibri" w:hAnsi="Calibri"/>
                <w:sz w:val="22"/>
              </w:rPr>
              <w:t>Goldman Sachs / FAB Partnerships</w:t>
            </w:r>
          </w:p>
        </w:tc>
        <w:tc>
          <w:tcPr>
            <w:tcW w:type="dxa" w:w="1728"/>
          </w:tcPr>
          <w:p>
            <w:r>
              <w:rPr>
                <w:rFonts w:ascii="Calibri" w:hAnsi="Calibri"/>
                <w:sz w:val="22"/>
              </w:rPr>
              <w:t>Goldman: interval fund + target date sister series launch "later this year"; FAB: targeted mid-2026 launch</w:t>
            </w:r>
          </w:p>
        </w:tc>
        <w:tc>
          <w:tcPr>
            <w:tcW w:type="dxa" w:w="1728"/>
          </w:tcPr>
          <w:p>
            <w:r>
              <w:rPr>
                <w:rFonts w:ascii="Calibri" w:hAnsi="Calibri"/>
                <w:sz w:val="22"/>
              </w:rPr>
              <w:t>—</w:t>
            </w:r>
          </w:p>
        </w:tc>
        <w:tc>
          <w:tcPr>
            <w:tcW w:type="dxa" w:w="1728"/>
          </w:tcPr>
          <w:p>
            <w:r>
              <w:rPr>
                <w:rFonts w:ascii="Calibri" w:hAnsi="Calibri"/>
                <w:sz w:val="22"/>
              </w:rPr>
              <w:t>N/A (not in VA consensus)</w:t>
            </w:r>
          </w:p>
        </w:tc>
        <w:tc>
          <w:tcPr>
            <w:tcW w:type="dxa" w:w="1728"/>
          </w:tcPr>
          <w:p>
            <w:r>
              <w:rPr>
                <w:rFonts w:ascii="Calibri" w:hAnsi="Calibri"/>
                <w:sz w:val="22"/>
              </w:rPr>
              <w:t>No update since Q1 call; market will look for launch confirmation on Q2 call.</w:t>
            </w:r>
          </w:p>
        </w:tc>
      </w:tr>
      <w:tr>
        <w:tc>
          <w:tcPr>
            <w:tcW w:type="dxa" w:w="1728"/>
          </w:tcPr>
          <w:p>
            <w:r>
              <w:rPr>
                <w:rFonts w:ascii="Calibri" w:hAnsi="Calibri"/>
                <w:sz w:val="22"/>
              </w:rPr>
              <w:t>OHA / Alternatives</w:t>
            </w:r>
          </w:p>
        </w:tc>
        <w:tc>
          <w:tcPr>
            <w:tcW w:type="dxa" w:w="1728"/>
          </w:tcPr>
          <w:p>
            <w:r>
              <w:rPr>
                <w:rFonts w:ascii="Calibri" w:hAnsi="Calibri"/>
                <w:sz w:val="22"/>
              </w:rPr>
              <w:t>OHA AUM $112B; OFLEX registered; CLO launched April 2026; wealth + insurance channels as next growth frontiers</w:t>
            </w:r>
          </w:p>
        </w:tc>
        <w:tc>
          <w:tcPr>
            <w:tcW w:type="dxa" w:w="1728"/>
          </w:tcPr>
          <w:p>
            <w:r>
              <w:rPr>
                <w:rFonts w:ascii="Calibri" w:hAnsi="Calibri"/>
                <w:sz w:val="22"/>
              </w:rPr>
              <w:t>—</w:t>
            </w:r>
          </w:p>
        </w:tc>
        <w:tc>
          <w:tcPr>
            <w:tcW w:type="dxa" w:w="1728"/>
          </w:tcPr>
          <w:p>
            <w:r>
              <w:rPr>
                <w:rFonts w:ascii="Calibri" w:hAnsi="Calibri"/>
                <w:sz w:val="22"/>
              </w:rPr>
              <w:t>N/A (not in VA consensus)</w:t>
            </w:r>
          </w:p>
        </w:tc>
        <w:tc>
          <w:tcPr>
            <w:tcW w:type="dxa" w:w="1728"/>
          </w:tcPr>
          <w:p>
            <w:r>
              <w:rPr>
                <w:rFonts w:ascii="Calibri" w:hAnsi="Calibri"/>
                <w:sz w:val="22"/>
              </w:rPr>
              <w:t>No post-earnings update; OHA CEO participation on Q1 call elevated strategic visibility. Market will watch for AUM update and fundraising progress.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print — Q2 2026 EPS consensus is up ~12% from the post-Q1 baseline, driven by the strong equity market rally lifting average AUM. Full-year estimates have similarly been revised up ~9%. The revision momentum is tracking well above guidance, creating a higher bar for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Q1 Earnings +5 Days (May 7,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$2.25</w:t>
            </w:r>
          </w:p>
        </w:tc>
        <w:tc>
          <w:tcPr>
            <w:tcW w:type="dxa" w:w="1080"/>
          </w:tcPr>
          <w:p>
            <w:r>
              <w:rPr>
                <w:rFonts w:ascii="Calibri" w:hAnsi="Calibri"/>
                <w:sz w:val="22"/>
              </w:rPr>
              <w:t>$2.52</w:t>
            </w:r>
          </w:p>
        </w:tc>
        <w:tc>
          <w:tcPr>
            <w:tcW w:type="dxa" w:w="1080"/>
          </w:tcPr>
          <w:p>
            <w:r>
              <w:rPr>
                <w:rFonts w:ascii="Calibri" w:hAnsi="Calibri"/>
                <w:b/>
                <w:color w:val="30A46C"/>
                <w:sz w:val="22"/>
              </w:rPr>
              <w:t>+12.0%</w:t>
            </w:r>
          </w:p>
        </w:tc>
        <w:tc>
          <w:tcPr>
            <w:tcW w:type="dxa" w:w="1080"/>
          </w:tcPr>
          <w:p>
            <w:r>
              <w:rPr>
                <w:rFonts w:ascii="Calibri" w:hAnsi="Calibri"/>
                <w:sz w:val="22"/>
              </w:rPr>
              <w:t>No quarterly EPS guidance</w:t>
            </w:r>
          </w:p>
        </w:tc>
        <w:tc>
          <w:tcPr>
            <w:tcW w:type="dxa" w:w="1080"/>
          </w:tcPr>
          <w:p>
            <w:r>
              <w:rPr>
                <w:rFonts w:ascii="Calibri" w:hAnsi="Calibri"/>
                <w:sz w:val="22"/>
              </w:rPr>
              <w:t>No quarterly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$9.34</w:t>
            </w:r>
          </w:p>
        </w:tc>
        <w:tc>
          <w:tcPr>
            <w:tcW w:type="dxa" w:w="1080"/>
          </w:tcPr>
          <w:p>
            <w:r>
              <w:rPr>
                <w:rFonts w:ascii="Calibri" w:hAnsi="Calibri"/>
                <w:sz w:val="22"/>
              </w:rPr>
              <w:t>$10.20</w:t>
            </w:r>
          </w:p>
        </w:tc>
        <w:tc>
          <w:tcPr>
            <w:tcW w:type="dxa" w:w="1080"/>
          </w:tcPr>
          <w:p>
            <w:r>
              <w:rPr>
                <w:rFonts w:ascii="Calibri" w:hAnsi="Calibri"/>
                <w:b/>
                <w:color w:val="30A46C"/>
                <w:sz w:val="22"/>
              </w:rPr>
              <w:t>+9.2%</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Q2 2026 ($B)</w:t>
            </w:r>
          </w:p>
        </w:tc>
        <w:tc>
          <w:tcPr>
            <w:tcW w:type="dxa" w:w="1080"/>
          </w:tcPr>
          <w:p>
            <w:r>
              <w:rPr>
                <w:rFonts w:ascii="Calibri" w:hAnsi="Calibri"/>
                <w:sz w:val="22"/>
              </w:rPr>
              <w:t>$1.848B</w:t>
            </w:r>
          </w:p>
        </w:tc>
        <w:tc>
          <w:tcPr>
            <w:tcW w:type="dxa" w:w="1080"/>
          </w:tcPr>
          <w:p>
            <w:r>
              <w:rPr>
                <w:rFonts w:ascii="Calibri" w:hAnsi="Calibri"/>
                <w:sz w:val="22"/>
              </w:rPr>
              <w:t>$1.930B</w:t>
            </w:r>
          </w:p>
        </w:tc>
        <w:tc>
          <w:tcPr>
            <w:tcW w:type="dxa" w:w="1080"/>
          </w:tcPr>
          <w:p>
            <w:r>
              <w:rPr>
                <w:rFonts w:ascii="Calibri" w:hAnsi="Calibri"/>
                <w:b/>
                <w:color w:val="30A46C"/>
                <w:sz w:val="22"/>
              </w:rPr>
              <w:t>+4.4%</w:t>
            </w:r>
          </w:p>
        </w:tc>
        <w:tc>
          <w:tcPr>
            <w:tcW w:type="dxa" w:w="1080"/>
          </w:tcPr>
          <w:p>
            <w:r>
              <w:rPr>
                <w:rFonts w:ascii="Calibri" w:hAnsi="Calibri"/>
                <w:sz w:val="22"/>
              </w:rPr>
              <w:t>No quarterly revenue guidance</w:t>
            </w:r>
          </w:p>
        </w:tc>
        <w:tc>
          <w:tcPr>
            <w:tcW w:type="dxa" w:w="1080"/>
          </w:tcPr>
          <w:p>
            <w:r>
              <w:rPr>
                <w:rFonts w:ascii="Calibri" w:hAnsi="Calibri"/>
                <w:sz w:val="22"/>
              </w:rPr>
              <w:t>No quarterly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FY2026 ($B)</w:t>
            </w:r>
          </w:p>
        </w:tc>
        <w:tc>
          <w:tcPr>
            <w:tcW w:type="dxa" w:w="1080"/>
          </w:tcPr>
          <w:p>
            <w:r>
              <w:rPr>
                <w:rFonts w:ascii="Calibri" w:hAnsi="Calibri"/>
                <w:sz w:val="22"/>
              </w:rPr>
              <w:t>$7.493B</w:t>
            </w:r>
          </w:p>
        </w:tc>
        <w:tc>
          <w:tcPr>
            <w:tcW w:type="dxa" w:w="1080"/>
          </w:tcPr>
          <w:p>
            <w:r>
              <w:rPr>
                <w:rFonts w:ascii="Calibri" w:hAnsi="Calibri"/>
                <w:sz w:val="22"/>
              </w:rPr>
              <w:t>$7.820B</w:t>
            </w:r>
          </w:p>
        </w:tc>
        <w:tc>
          <w:tcPr>
            <w:tcW w:type="dxa" w:w="1080"/>
          </w:tcPr>
          <w:p>
            <w:r>
              <w:rPr>
                <w:rFonts w:ascii="Calibri" w:hAnsi="Calibri"/>
                <w:b/>
                <w:color w:val="30A46C"/>
                <w:sz w:val="22"/>
              </w:rPr>
              <w:t>+4.4%</w:t>
            </w:r>
          </w:p>
        </w:tc>
        <w:tc>
          <w:tcPr>
            <w:tcW w:type="dxa" w:w="1080"/>
          </w:tcPr>
          <w:p>
            <w:r>
              <w:rPr>
                <w:rFonts w:ascii="Calibri" w:hAnsi="Calibri"/>
                <w:sz w:val="22"/>
              </w:rPr>
              <w:t>No FY revenue guidance</w:t>
            </w:r>
          </w:p>
        </w:tc>
        <w:tc>
          <w:tcPr>
            <w:tcW w:type="dxa" w:w="1080"/>
          </w:tcPr>
          <w:p>
            <w:r>
              <w:rPr>
                <w:rFonts w:ascii="Calibri" w:hAnsi="Calibri"/>
                <w:sz w:val="22"/>
              </w:rPr>
              <w:t>No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EOP AUM — Q2 2026 ($T)</w:t>
            </w:r>
          </w:p>
        </w:tc>
        <w:tc>
          <w:tcPr>
            <w:tcW w:type="dxa" w:w="1080"/>
          </w:tcPr>
          <w:p>
            <w:r>
              <w:rPr>
                <w:rFonts w:ascii="Calibri" w:hAnsi="Calibri"/>
                <w:sz w:val="22"/>
              </w:rPr>
              <w:t>$1.774T</w:t>
            </w:r>
          </w:p>
        </w:tc>
        <w:tc>
          <w:tcPr>
            <w:tcW w:type="dxa" w:w="1080"/>
          </w:tcPr>
          <w:p>
            <w:r>
              <w:rPr>
                <w:rFonts w:ascii="Calibri" w:hAnsi="Calibri"/>
                <w:sz w:val="22"/>
              </w:rPr>
              <w:t>$1.889T</w:t>
            </w:r>
          </w:p>
        </w:tc>
        <w:tc>
          <w:tcPr>
            <w:tcW w:type="dxa" w:w="1080"/>
          </w:tcPr>
          <w:p>
            <w:r>
              <w:rPr>
                <w:rFonts w:ascii="Calibri" w:hAnsi="Calibri"/>
                <w:b/>
                <w:color w:val="30A46C"/>
                <w:sz w:val="22"/>
              </w:rPr>
              <w:t>+6.5%</w:t>
            </w:r>
          </w:p>
        </w:tc>
        <w:tc>
          <w:tcPr>
            <w:tcW w:type="dxa" w:w="1080"/>
          </w:tcPr>
          <w:p>
            <w:r>
              <w:rPr>
                <w:rFonts w:ascii="Calibri" w:hAnsi="Calibri"/>
                <w:sz w:val="22"/>
              </w:rPr>
              <w:t>No AUM guidance</w:t>
            </w:r>
          </w:p>
        </w:tc>
        <w:tc>
          <w:tcPr>
            <w:tcW w:type="dxa" w:w="1080"/>
          </w:tcPr>
          <w:p>
            <w:r>
              <w:rPr>
                <w:rFonts w:ascii="Calibri" w:hAnsi="Calibri"/>
                <w:sz w:val="22"/>
              </w:rPr>
              <w:t>Actual Q2 AUM = $1.893T (per July 13 release)</w:t>
            </w:r>
          </w:p>
        </w:tc>
        <w:tc>
          <w:tcPr>
            <w:tcW w:type="dxa" w:w="1080"/>
          </w:tcPr>
          <w:p>
            <w:r>
              <w:rPr>
                <w:rFonts w:ascii="Calibri" w:hAnsi="Calibri"/>
                <w:sz w:val="22"/>
              </w:rPr>
              <w:t>N/A</w:t>
            </w:r>
          </w:p>
        </w:tc>
        <w:tc>
          <w:tcPr>
            <w:tcW w:type="dxa" w:w="1080"/>
          </w:tcPr>
          <w:p>
            <w:r>
              <w:rPr>
                <w:rFonts w:ascii="Calibri" w:hAnsi="Calibri"/>
                <w:sz w:val="22"/>
              </w:rPr>
              <w:t>Actual +0.2% vs. consensus</w:t>
            </w:r>
          </w:p>
        </w:tc>
      </w:tr>
      <w:tr>
        <w:tc>
          <w:tcPr>
            <w:tcW w:type="dxa" w:w="1080"/>
          </w:tcPr>
          <w:p>
            <w:r>
              <w:rPr>
                <w:rFonts w:ascii="Calibri" w:hAnsi="Calibri"/>
                <w:sz w:val="22"/>
              </w:rPr>
              <w:t>Net Flows — Q2 2026 ($B)</w:t>
            </w:r>
          </w:p>
        </w:tc>
        <w:tc>
          <w:tcPr>
            <w:tcW w:type="dxa" w:w="1080"/>
          </w:tcPr>
          <w:p>
            <w:r>
              <w:rPr>
                <w:rFonts w:ascii="Calibri" w:hAnsi="Calibri"/>
                <w:sz w:val="22"/>
              </w:rPr>
              <w:t>-$12.9B</w:t>
            </w:r>
          </w:p>
        </w:tc>
        <w:tc>
          <w:tcPr>
            <w:tcW w:type="dxa" w:w="1080"/>
          </w:tcPr>
          <w:p>
            <w:r>
              <w:rPr>
                <w:rFonts w:ascii="Calibri" w:hAnsi="Calibri"/>
                <w:sz w:val="22"/>
              </w:rPr>
              <w:t>-$8.2B</w:t>
            </w:r>
          </w:p>
        </w:tc>
        <w:tc>
          <w:tcPr>
            <w:tcW w:type="dxa" w:w="1080"/>
          </w:tcPr>
          <w:p>
            <w:r>
              <w:rPr>
                <w:rFonts w:ascii="Calibri" w:hAnsi="Calibri"/>
                <w:b/>
                <w:color w:val="30A46C"/>
                <w:sz w:val="22"/>
              </w:rPr>
              <w:t>+36% better</w:t>
            </w:r>
          </w:p>
        </w:tc>
        <w:tc>
          <w:tcPr>
            <w:tcW w:type="dxa" w:w="1080"/>
          </w:tcPr>
          <w:p>
            <w:r>
              <w:rPr>
                <w:rFonts w:ascii="Calibri" w:hAnsi="Calibri"/>
                <w:sz w:val="22"/>
              </w:rPr>
              <w:t>No flows guidance; continued equity outflow pressure expected</w:t>
            </w:r>
          </w:p>
        </w:tc>
        <w:tc>
          <w:tcPr>
            <w:tcW w:type="dxa" w:w="1080"/>
          </w:tcPr>
          <w:p>
            <w:r>
              <w:rPr>
                <w:rFonts w:ascii="Calibri" w:hAnsi="Calibri"/>
                <w:sz w:val="22"/>
              </w:rPr>
              <w:t>Actual Q2 = -$6.5B (per July 13 release)</w:t>
            </w:r>
          </w:p>
        </w:tc>
        <w:tc>
          <w:tcPr>
            <w:tcW w:type="dxa" w:w="1080"/>
          </w:tcPr>
          <w:p>
            <w:r>
              <w:rPr>
                <w:rFonts w:ascii="Calibri" w:hAnsi="Calibri"/>
                <w:sz w:val="22"/>
              </w:rPr>
              <w:t>N/A</w:t>
            </w:r>
          </w:p>
        </w:tc>
        <w:tc>
          <w:tcPr>
            <w:tcW w:type="dxa" w:w="1080"/>
          </w:tcPr>
          <w:p>
            <w:r>
              <w:rPr>
                <w:rFonts w:ascii="Calibri" w:hAnsi="Calibri"/>
                <w:sz w:val="22"/>
              </w:rPr>
              <w:t>Actual ~21% better than consensus</w:t>
            </w:r>
          </w:p>
        </w:tc>
      </w:tr>
      <w:tr>
        <w:tc>
          <w:tcPr>
            <w:tcW w:type="dxa" w:w="1080"/>
          </w:tcPr>
          <w:p>
            <w:r>
              <w:rPr>
                <w:rFonts w:ascii="Calibri" w:hAnsi="Calibri"/>
                <w:sz w:val="22"/>
              </w:rPr>
              <w:t>Adj. Operating Expenses — FY2026 ($B)</w:t>
            </w:r>
          </w:p>
        </w:tc>
        <w:tc>
          <w:tcPr>
            <w:tcW w:type="dxa" w:w="1080"/>
          </w:tcPr>
          <w:p>
            <w:r>
              <w:rPr>
                <w:rFonts w:ascii="Calibri" w:hAnsi="Calibri"/>
                <w:sz w:val="22"/>
              </w:rPr>
              <w:t>$4.809B</w:t>
            </w:r>
          </w:p>
        </w:tc>
        <w:tc>
          <w:tcPr>
            <w:tcW w:type="dxa" w:w="1080"/>
          </w:tcPr>
          <w:p>
            <w:r>
              <w:rPr>
                <w:rFonts w:ascii="Calibri" w:hAnsi="Calibri"/>
                <w:sz w:val="22"/>
              </w:rPr>
              <w:t>$4.889B</w:t>
            </w:r>
          </w:p>
        </w:tc>
        <w:tc>
          <w:tcPr>
            <w:tcW w:type="dxa" w:w="1080"/>
          </w:tcPr>
          <w:p>
            <w:r>
              <w:rPr>
                <w:rFonts w:ascii="Calibri" w:hAnsi="Calibri"/>
                <w:b/>
                <w:color w:val="E5484D"/>
                <w:sz w:val="22"/>
              </w:rPr>
              <w:t>+1.7%</w:t>
            </w:r>
          </w:p>
        </w:tc>
        <w:tc>
          <w:tcPr>
            <w:tcW w:type="dxa" w:w="1080"/>
          </w:tcPr>
          <w:p>
            <w:r>
              <w:rPr>
                <w:rFonts w:ascii="Calibri" w:hAnsi="Calibri"/>
                <w:sz w:val="22"/>
              </w:rPr>
              <w:t>+3–6% over $4.6B base ($4.74B–$4.88B)</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Consensus $4.889B is at the high end / slightly above the guided range</w:t>
            </w:r>
          </w:p>
        </w:tc>
      </w:tr>
    </w:tbl>
    <w:p>
      <w:r>
        <w:rPr>
          <w:rFonts w:ascii="Calibri" w:hAnsi="Calibri"/>
          <w:i/>
          <w:color w:val="525866"/>
          <w:sz w:val="22"/>
        </w:rPr>
        <w:t xml:space="preserve">Source: Visible Alpha Consensus and Actuals Data; T. Rowe Price Q1 2026 Earnings Call Transcript (April 30, 2026); T. Rowe Price June 2026 AUM Press Release (July 13, 2026). </w:t>
      </w:r>
      <w:r>
        <w:rPr>
          <w:rFonts w:ascii="Calibri" w:hAnsi="Calibri"/>
          <w:color w:val="525866"/>
          <w:sz w:val="22"/>
        </w:rPr>
        <w:t>The sharp upward revision in EPS and revenue estimates since the Q1 print reflects the strong equity market rally through Q2 (S&amp;P 500 +3.2% from April 30 to June 30), which lifted average AUM well above post-Q1 models. The key risk is that the market has already priced in this AUM tailwind, leaving the print more dependent on fee rate and expense execution.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TROW has significantly outperformed both the capital markets sector ETF (KCE) and the S&amp;P 500 since the Q1 earnings print, with the stock up ~16% vs. KCE +5% and SPY +3%. The outperformance is primarily </w:t>
      </w:r>
      <w:r>
        <w:rPr>
          <w:rFonts w:ascii="Calibri" w:hAnsi="Calibri"/>
          <w:b/>
          <w:color w:val="525866"/>
          <w:sz w:val="22"/>
        </w:rPr>
        <w:t>multiple-driven</w:t>
      </w:r>
      <w:r>
        <w:rPr>
          <w:rFonts w:ascii="Calibri" w:hAnsi="Calibri"/>
          <w:color w:val="525866"/>
          <w:sz w:val="22"/>
        </w:rPr>
        <w:t xml:space="preserve"> — the P/E expanded from ~10.9x to ~11.5x NTM — reflecting the market re-rating TROW on the back of the strong AUM recovery and improving flow trajectory. The stock’s sharp rally into the print raises the bar for a positive reaction on July 31.</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TROW vs. KCE (Capital Markets ETF) vs. S&amp;P 500 — Indexed to 100 at Q1 2026 Earnings (April 30, 2026). Source: Yahoo Finance / Stock Price Data.</w:t>
      </w:r>
    </w:p>
    <w:p>
      <w:r>
        <w:rPr>
          <w:rFonts w:ascii="Calibri" w:hAnsi="Calibri"/>
          <w:b/>
          <w:color w:val="525866"/>
          <w:sz w:val="22"/>
        </w:rPr>
        <w:t xml:space="preserve">Sector ETF: </w:t>
      </w:r>
      <w:r>
        <w:rPr>
          <w:rFonts w:ascii="Calibri" w:hAnsi="Calibri"/>
          <w:color w:val="525866"/>
          <w:sz w:val="22"/>
        </w:rPr>
        <w:t>KCE (SPDR S&amp;P Capital Markets ETF) — tracks the S&amp;P Capital Markets Select Industry Index, which includes asset managers, investment banks, and broker-dealers. This is the most appropriate sub-sector ETF for TROW given its pure-play asset management business.</w:t>
      </w:r>
    </w:p>
    <w:p>
      <w:r>
        <w:rPr>
          <w:rFonts w:ascii="Calibri" w:hAnsi="Calibri"/>
          <w:color w:val="525866"/>
          <w:sz w:val="22"/>
        </w:rPr>
        <w:t>Key Events Since Q1 Earnings (April 30, 2026):</w:t>
      </w:r>
    </w:p>
    <w:p>
      <w:pPr>
        <w:pStyle w:val="ListBullet"/>
        <w:ind w:left="360" w:hanging="360"/>
      </w:pPr>
      <w:r>
        <w:rPr>
          <w:rFonts w:ascii="Calibri" w:hAnsi="Calibri"/>
          <w:b/>
          <w:color w:val="525866"/>
          <w:sz w:val="22"/>
        </w:rPr>
        <w:t xml:space="preserve">May 18, 2026: </w:t>
      </w:r>
      <w:r>
        <w:rPr>
          <w:rFonts w:ascii="Calibri" w:hAnsi="Calibri"/>
          <w:color w:val="525866"/>
          <w:sz w:val="22"/>
        </w:rPr>
        <w:t>Eric Veiel appointed President, Co-Head of Global Investments &amp; CIO (8-K). Stock initially dipped on leadership change uncertainty before recovering.</w:t>
      </w:r>
    </w:p>
    <w:p>
      <w:pPr>
        <w:pStyle w:val="ListBullet"/>
        <w:ind w:left="360" w:hanging="360"/>
      </w:pPr>
      <w:r>
        <w:rPr>
          <w:rFonts w:ascii="Calibri" w:hAnsi="Calibri"/>
          <w:b/>
          <w:color w:val="525866"/>
          <w:sz w:val="22"/>
        </w:rPr>
        <w:t xml:space="preserve">June 26–July 2, 2026: </w:t>
      </w:r>
      <w:r>
        <w:rPr>
          <w:rFonts w:ascii="Calibri" w:hAnsi="Calibri"/>
          <w:color w:val="525866"/>
          <w:sz w:val="22"/>
        </w:rPr>
        <w:t>TROW surged ~+7% over 5 trading days, coinciding with strong end-of-quarter AUM data and broader financial sector rally.</w:t>
      </w:r>
    </w:p>
    <w:p>
      <w:pPr>
        <w:pStyle w:val="ListBullet"/>
        <w:ind w:left="360" w:hanging="360"/>
      </w:pPr>
      <w:r>
        <w:rPr>
          <w:rFonts w:ascii="Calibri" w:hAnsi="Calibri"/>
          <w:b/>
          <w:color w:val="525866"/>
          <w:sz w:val="22"/>
        </w:rPr>
        <w:t xml:space="preserve">July 13, 2026: </w:t>
      </w:r>
      <w:r>
        <w:rPr>
          <w:rFonts w:ascii="Calibri" w:hAnsi="Calibri"/>
          <w:color w:val="525866"/>
          <w:sz w:val="22"/>
        </w:rPr>
        <w:t>June AUM release confirmed $1.893T EOP AUM and Q2 net outflows of -$6.5B (better than consensus). Stock pulled back ~4.6% on the day, likely on profit-taking after the pre-release rally.</w:t>
      </w:r>
    </w:p>
    <w:p>
      <w:pPr>
        <w:pStyle w:val="ListBullet"/>
        <w:ind w:left="360" w:hanging="360"/>
      </w:pPr>
      <w:r>
        <w:rPr>
          <w:rFonts w:ascii="Calibri" w:hAnsi="Calibri"/>
          <w:b/>
          <w:color w:val="525866"/>
          <w:sz w:val="22"/>
        </w:rPr>
        <w:t xml:space="preserve">July 21–28, 2026: </w:t>
      </w:r>
      <w:r>
        <w:rPr>
          <w:rFonts w:ascii="Calibri" w:hAnsi="Calibri"/>
          <w:color w:val="525866"/>
          <w:sz w:val="22"/>
        </w:rPr>
        <w:t>TROW reached a new post-Q1 high of $121.68 on July 28, before pulling back slightly to $119.28 on July 31 (earnings day).</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appointment of Eric Veiel as President and CIO</w:t>
      </w:r>
      <w:r>
        <w:rPr>
          <w:rFonts w:ascii="Calibri" w:hAnsi="Calibri"/>
          <w:color w:val="525866"/>
          <w:sz w:val="22"/>
        </w:rPr>
        <w:t xml:space="preserve"> (May 18), which signals a leadership transition that could affect investment culture and client retention. The June AUM release confirming better-than-expected flows is the most directly relevant data point for the print.</w:t>
      </w:r>
    </w:p>
    <w:p>
      <w:pPr>
        <w:pStyle w:val="ListBullet"/>
        <w:ind w:left="360" w:hanging="360"/>
      </w:pPr>
      <w:r>
        <w:rPr>
          <w:rFonts w:ascii="Calibri" w:hAnsi="Calibri"/>
          <w:b/>
          <w:color w:val="525866"/>
          <w:sz w:val="22"/>
        </w:rPr>
        <w:t xml:space="preserve">July 13, 2026 — June AUM Release: </w:t>
      </w:r>
      <w:r>
        <w:rPr>
          <w:rFonts w:ascii="Calibri" w:hAnsi="Calibri"/>
          <w:color w:val="525866"/>
          <w:sz w:val="22"/>
        </w:rPr>
        <w:t xml:space="preserve">T. Rowe Price reported June month-end AUM of $1.893T, with Q2 net outflows of -$6.5B (better than the ~-$8.2B consensus). June alone saw net inflows of +$0.8B, including a large subadvised equity inflow — a rare positive data point for the equity franchise. Q2 flows also include $0.5B of manager-driven distributions. </w:t>
      </w:r>
      <w:r>
        <w:rPr>
          <w:rFonts w:ascii="Calibri" w:hAnsi="Calibri"/>
          <w:b/>
          <w:color w:val="525866"/>
          <w:sz w:val="22"/>
        </w:rPr>
        <w:t xml:space="preserve">Implication: </w:t>
      </w:r>
      <w:r>
        <w:rPr>
          <w:rFonts w:ascii="Calibri" w:hAnsi="Calibri"/>
          <w:color w:val="525866"/>
          <w:sz w:val="22"/>
        </w:rPr>
        <w:t>Confirms AUM tailwind for Q2 revenue; flow improvement is a positive signal but the subadvised nature of the June inflow may limit read-through to organic growth.</w:t>
      </w:r>
    </w:p>
    <w:p>
      <w:pPr>
        <w:pStyle w:val="ListBullet"/>
        <w:ind w:left="360" w:hanging="360"/>
      </w:pPr>
      <w:r>
        <w:rPr>
          <w:rFonts w:ascii="Calibri" w:hAnsi="Calibri"/>
          <w:b/>
          <w:color w:val="525866"/>
          <w:sz w:val="22"/>
        </w:rPr>
        <w:t xml:space="preserve">May 18, 2026 — Eric Veiel Appointed President &amp; CIO: </w:t>
      </w:r>
      <w:r>
        <w:rPr>
          <w:rFonts w:ascii="Calibri" w:hAnsi="Calibri"/>
          <w:color w:val="525866"/>
          <w:sz w:val="22"/>
        </w:rPr>
        <w:t xml:space="preserve">The Board appointed Eric L. Veiel as President, Co-Head of Global Investments, and Chief Investment Officer, effective immediately. Rob Sharps remains CEO. </w:t>
      </w:r>
      <w:r>
        <w:rPr>
          <w:rFonts w:ascii="Calibri" w:hAnsi="Calibri"/>
          <w:b/>
          <w:color w:val="525866"/>
          <w:sz w:val="22"/>
        </w:rPr>
        <w:t xml:space="preserve">Implication: </w:t>
      </w:r>
      <w:r>
        <w:rPr>
          <w:rFonts w:ascii="Calibri" w:hAnsi="Calibri"/>
          <w:color w:val="525866"/>
          <w:sz w:val="22"/>
        </w:rPr>
        <w:t>Leadership transition at the investment level is a key watch item — market will look for any commentary on investment team stability and client retention on the Q2 call.</w:t>
      </w:r>
    </w:p>
    <w:p>
      <w:pPr>
        <w:pStyle w:val="ListBullet"/>
        <w:ind w:left="360" w:hanging="360"/>
      </w:pPr>
      <w:r>
        <w:rPr>
          <w:rFonts w:ascii="Calibri" w:hAnsi="Calibri"/>
          <w:b/>
          <w:color w:val="525866"/>
          <w:sz w:val="22"/>
        </w:rPr>
        <w:t xml:space="preserve">May 11, 2026 — Annual Meeting: </w:t>
      </w:r>
      <w:r>
        <w:rPr>
          <w:rFonts w:ascii="Calibri" w:hAnsi="Calibri"/>
          <w:color w:val="525866"/>
          <w:sz w:val="22"/>
        </w:rPr>
        <w:t>Shareholders approved all proposals at the annual meeting. No material governance changes.</w:t>
      </w:r>
    </w:p>
    <w:p>
      <w:pPr>
        <w:pStyle w:val="ListBullet"/>
        <w:ind w:left="360" w:hanging="360"/>
      </w:pPr>
      <w:r>
        <w:rPr>
          <w:rFonts w:ascii="Calibri" w:hAnsi="Calibri"/>
          <w:b/>
          <w:color w:val="525866"/>
          <w:sz w:val="22"/>
        </w:rPr>
        <w:t xml:space="preserve">April 30, 2026 — Q1 2026 Earnings (Key Post-Earnings Developments Disclosed): </w:t>
      </w:r>
      <w:r>
        <w:rPr>
          <w:rFonts w:ascii="Calibri" w:hAnsi="Calibri"/>
          <w:color w:val="525866"/>
          <w:sz w:val="22"/>
        </w:rPr>
        <w:t xml:space="preserve">Management disclosed several Q2-relevant initiatives: (1) First T. Rowe Price-managed CLO closed in early April; (2) ETF AUM surpassed $25B as of late April; (3) OFLEX (multi-strategy credit interval fund) recently registered; (4) FAB partnership targeting mid-2026 launch; (5) Goldman Sachs collaboration advancing with interval fund and target date sister series expected "later this year"; (6) European ETF plans in development. </w:t>
      </w:r>
      <w:r>
        <w:rPr>
          <w:rFonts w:ascii="Calibri" w:hAnsi="Calibri"/>
          <w:b/>
          <w:color w:val="525866"/>
          <w:sz w:val="22"/>
        </w:rPr>
        <w:t xml:space="preserve">Implication: </w:t>
      </w:r>
      <w:r>
        <w:rPr>
          <w:rFonts w:ascii="Calibri" w:hAnsi="Calibri"/>
          <w:color w:val="525866"/>
          <w:sz w:val="22"/>
        </w:rPr>
        <w:t>Multiple product launches expected in Q2/H2 2026 — any confirmation of timelines on the Q2 call would be a positive catalyst.</w:t>
      </w:r>
    </w:p>
    <w:p>
      <w:pPr>
        <w:pStyle w:val="ListBullet"/>
        <w:ind w:left="360" w:hanging="360"/>
      </w:pPr>
      <w:r>
        <w:rPr>
          <w:rFonts w:ascii="Calibri" w:hAnsi="Calibri"/>
          <w:b/>
          <w:color w:val="525866"/>
          <w:sz w:val="22"/>
        </w:rPr>
        <w:t xml:space="preserve">July 21–22, 2026 — TROW Crypto ETF Launch: </w:t>
      </w:r>
      <w:r>
        <w:rPr>
          <w:rFonts w:ascii="Calibri" w:hAnsi="Calibri"/>
          <w:color w:val="525866"/>
          <w:sz w:val="22"/>
        </w:rPr>
        <w:t xml:space="preserve">News reports indicate T. Rowe Price launched a multi-token ETF, extending its ETF platform into digital assets. </w:t>
      </w:r>
      <w:r>
        <w:rPr>
          <w:rFonts w:ascii="Calibri" w:hAnsi="Calibri"/>
          <w:b/>
          <w:color w:val="525866"/>
          <w:sz w:val="22"/>
        </w:rPr>
        <w:t xml:space="preserve">Implication: </w:t>
      </w:r>
      <w:r>
        <w:rPr>
          <w:rFonts w:ascii="Calibri" w:hAnsi="Calibri"/>
          <w:color w:val="525866"/>
          <w:sz w:val="22"/>
        </w:rPr>
        <w:t>Signals continued ETF platform expansion; could attract new AUM flows from crypto-oriented investors, though scale is likely modest near-term.</w:t>
      </w:r>
    </w:p>
    <w:p>
      <w:pPr>
        <w:pStyle w:val="ListBullet"/>
        <w:ind w:left="360" w:hanging="360"/>
      </w:pPr>
      <w:r>
        <w:rPr>
          <w:rFonts w:ascii="Calibri" w:hAnsi="Calibri"/>
          <w:b/>
          <w:color w:val="525866"/>
          <w:sz w:val="22"/>
        </w:rPr>
        <w:t xml:space="preserve">April 22, 2026 — OHA CEO Compensation Disclosed: </w:t>
      </w:r>
      <w:r>
        <w:rPr>
          <w:rFonts w:ascii="Calibri" w:hAnsi="Calibri"/>
          <w:color w:val="525866"/>
          <w:sz w:val="22"/>
        </w:rPr>
        <w:t xml:space="preserve">T. Rowe Price filed an 8-K detailing the employment agreement and compensation for OHA CEO Robert August, signaling renewed partnership terms. </w:t>
      </w:r>
      <w:r>
        <w:rPr>
          <w:rFonts w:ascii="Calibri" w:hAnsi="Calibri"/>
          <w:b/>
          <w:color w:val="525866"/>
          <w:sz w:val="22"/>
        </w:rPr>
        <w:t xml:space="preserve">Implication: </w:t>
      </w:r>
      <w:r>
        <w:rPr>
          <w:rFonts w:ascii="Calibri" w:hAnsi="Calibri"/>
          <w:color w:val="525866"/>
          <w:sz w:val="22"/>
        </w:rPr>
        <w:t>Confirms OHA leadership stability and alignment with TROW’s long-term alternatives strategy.</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the Q1 earnings print is minimal — only one open-market sale was disclosed, by a Vice President, and it was a discretionary sale (not under a 10b5-1 plan). No open-market buys were filed. The absence of clustered buying or unusual selling is broadly neutral.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Jackson, Stephon A.</w:t>
            </w:r>
          </w:p>
        </w:tc>
        <w:tc>
          <w:tcPr>
            <w:tcW w:type="dxa" w:w="1440"/>
          </w:tcPr>
          <w:p>
            <w:r>
              <w:rPr>
                <w:rFonts w:ascii="Calibri" w:hAnsi="Calibri"/>
                <w:sz w:val="22"/>
              </w:rPr>
              <w:t>Vice President</w:t>
            </w:r>
          </w:p>
        </w:tc>
        <w:tc>
          <w:tcPr>
            <w:tcW w:type="dxa" w:w="1440"/>
          </w:tcPr>
          <w:p>
            <w:r>
              <w:rPr>
                <w:rFonts w:ascii="Calibri" w:hAnsi="Calibri"/>
                <w:sz w:val="22"/>
              </w:rPr>
              <w:t>Open Market Sale</w:t>
            </w:r>
          </w:p>
        </w:tc>
        <w:tc>
          <w:tcPr>
            <w:tcW w:type="dxa" w:w="1440"/>
          </w:tcPr>
          <w:p>
            <w:r>
              <w:rPr>
                <w:rFonts w:ascii="Calibri" w:hAnsi="Calibri"/>
                <w:sz w:val="22"/>
              </w:rPr>
              <w:t>3,000 shares</w:t>
            </w:r>
          </w:p>
        </w:tc>
        <w:tc>
          <w:tcPr>
            <w:tcW w:type="dxa" w:w="1440"/>
          </w:tcPr>
          <w:p>
            <w:r>
              <w:rPr>
                <w:rFonts w:ascii="Calibri" w:hAnsi="Calibri"/>
                <w:sz w:val="22"/>
              </w:rPr>
              <w:t>May 13, 2026 (filed May 14)</w:t>
            </w:r>
          </w:p>
        </w:tc>
        <w:tc>
          <w:tcPr>
            <w:tcW w:type="dxa" w:w="1440"/>
          </w:tcPr>
          <w:p>
            <w:r>
              <w:rPr>
                <w:rFonts w:ascii="Calibri" w:hAnsi="Calibri"/>
                <w:sz w:val="22"/>
              </w:rPr>
              <w:t>Discretionary sale; not under a 10b5-1 plan. Retained ~83,883 shares post-transaction.</w:t>
            </w:r>
          </w:p>
        </w:tc>
      </w:tr>
    </w:tbl>
    <w:p>
      <w:r>
        <w:rPr>
          <w:rFonts w:ascii="Calibri" w:hAnsi="Calibri"/>
          <w:i/>
          <w:color w:val="525866"/>
          <w:sz w:val="22"/>
        </w:rPr>
        <w:t xml:space="preserve">Source: SEC Form 4 Filings Database (Insider Transaction Data). </w:t>
      </w:r>
      <w:r>
        <w:rPr>
          <w:rFonts w:ascii="Calibri" w:hAnsi="Calibri"/>
          <w:color w:val="525866"/>
          <w:sz w:val="22"/>
        </w:rPr>
        <w:t>No open-market purchases by directors or senior executives were filed in the period from April 30 to July 30, 2026. The single VP-level sale is not considered a meaningful signal.</w:t>
      </w:r>
    </w:p>
    <w:p>
      <w:r>
        <w:br w:type="page"/>
      </w:r>
    </w:p>
    <w:p>
      <w:pPr>
        <w:pStyle w:val="Heading2"/>
      </w:pPr>
      <w:r>
        <w:rPr>
          <w:rFonts w:ascii="Calibri" w:hAnsi="Calibri"/>
          <w:b/>
          <w:color w:val="3B4259"/>
          <w:sz w:val="28"/>
        </w:rPr>
        <w:t>8. Peer Commentary: Current-Quarter Read-Through</w:t>
      </w:r>
    </w:p>
    <w:p>
      <w:r>
        <w:rPr>
          <w:rFonts w:ascii="Calibri" w:hAnsi="Calibri"/>
          <w:b/>
          <w:color w:val="525866"/>
          <w:sz w:val="22"/>
        </w:rPr>
        <w:t xml:space="preserve">Key Takeaway: </w:t>
      </w:r>
      <w:r>
        <w:rPr>
          <w:rFonts w:ascii="Calibri" w:hAnsi="Calibri"/>
          <w:color w:val="525866"/>
          <w:sz w:val="22"/>
        </w:rPr>
        <w:t xml:space="preserve">Peer commentary from Q2 2026 earnings (reported in the last 60 days) is broadly constructive for TROW’s setup: </w:t>
      </w:r>
      <w:r>
        <w:rPr>
          <w:rFonts w:ascii="Calibri" w:hAnsi="Calibri"/>
          <w:b/>
          <w:color w:val="525866"/>
          <w:sz w:val="22"/>
        </w:rPr>
        <w:t>AUM recovery was strong across the sector</w:t>
      </w:r>
      <w:r>
        <w:rPr>
          <w:rFonts w:ascii="Calibri" w:hAnsi="Calibri"/>
          <w:color w:val="525866"/>
          <w:sz w:val="22"/>
        </w:rPr>
        <w:t xml:space="preserve"> driven by equity market gains; </w:t>
      </w:r>
      <w:r>
        <w:rPr>
          <w:rFonts w:ascii="Calibri" w:hAnsi="Calibri"/>
          <w:b/>
          <w:color w:val="525866"/>
          <w:sz w:val="22"/>
        </w:rPr>
        <w:t>alternatives demand remains robust</w:t>
      </w:r>
      <w:r>
        <w:rPr>
          <w:rFonts w:ascii="Calibri" w:hAnsi="Calibri"/>
          <w:color w:val="525866"/>
          <w:sz w:val="22"/>
        </w:rPr>
        <w:t xml:space="preserve"> (positive for OHA); and </w:t>
      </w:r>
      <w:r>
        <w:rPr>
          <w:rFonts w:ascii="Calibri" w:hAnsi="Calibri"/>
          <w:b/>
          <w:color w:val="525866"/>
          <w:sz w:val="22"/>
        </w:rPr>
        <w:t>active equity outflows persist industry-wide</w:t>
      </w:r>
      <w:r>
        <w:rPr>
          <w:rFonts w:ascii="Calibri" w:hAnsi="Calibri"/>
          <w:color w:val="525866"/>
          <w:sz w:val="22"/>
        </w:rPr>
        <w:t xml:space="preserve"> (consistent with TROW’s structural challenge). Invesco’s record net inflows and margin expansion are a positive read-through for the sector, though TROW’s flow profile is more challenged. AMG’s record alternatives inflows validate TROW’s OHA strategy.</w:t>
      </w:r>
    </w:p>
    <w:p>
      <w:r>
        <w:rPr>
          <w:rFonts w:ascii="Calibri" w:hAnsi="Calibri"/>
          <w:b/>
          <w:i/>
          <w:color w:val="525866"/>
          <w:sz w:val="22"/>
        </w:rPr>
        <w:t xml:space="preserve">Note: </w:t>
      </w:r>
      <w:r>
        <w:rPr>
          <w:rFonts w:ascii="Calibri" w:hAnsi="Calibri"/>
          <w:i/>
          <w:color w:val="525866"/>
          <w:sz w:val="22"/>
        </w:rPr>
        <w:t>Only commentary from peers’ Q2 2026 earnings releases and calls (calendar Q2 2026, ending June 30, 2026) is included below. Stale commentary from prior reporting periods has been excluded.</w:t>
      </w:r>
    </w:p>
    <w:p>
      <w:pPr>
        <w:pStyle w:val="Heading3"/>
      </w:pPr>
      <w:r>
        <w:rPr>
          <w:rFonts w:ascii="Calibri" w:hAnsi="Calibri"/>
          <w:b/>
          <w:color w:val="3B4259"/>
          <w:sz w:val="24"/>
        </w:rPr>
        <w:t>Invesco (IVZ) — Q2 2026 Earnings (Reported July 28, 2026)</w:t>
      </w:r>
    </w:p>
    <w:p>
      <w:r>
        <w:rPr>
          <w:rFonts w:ascii="Calibri" w:hAnsi="Calibri"/>
          <w:b/>
          <w:color w:val="525866"/>
          <w:sz w:val="22"/>
        </w:rPr>
        <w:t xml:space="preserve">AUM &amp; Flows: </w:t>
      </w:r>
      <w:r>
        <w:rPr>
          <w:rFonts w:ascii="Calibri" w:hAnsi="Calibri"/>
          <w:color w:val="525866"/>
          <w:sz w:val="22"/>
        </w:rPr>
        <w:t>Invesco reported record AUM of $2.5T at June 30, 2026, up 14% from Q1 and 23% YoY. Net long-term inflows were a record $45.1B, representing ~9% annualized organic growth and the 12th consecutive quarter of net inflows. CEO Andrew Schlossberg noted: "</w:t>
      </w:r>
      <w:r>
        <w:rPr>
          <w:rFonts w:ascii="Calibri" w:hAnsi="Calibri"/>
          <w:i/>
          <w:color w:val="525866"/>
          <w:sz w:val="22"/>
        </w:rPr>
        <w:t>The momentum we are building as we execute against our strategic priorities is noteworthy.</w:t>
      </w:r>
      <w:r>
        <w:rPr>
          <w:rFonts w:ascii="Calibri" w:hAnsi="Calibri"/>
          <w:color w:val="525866"/>
          <w:sz w:val="22"/>
        </w:rPr>
        <w:t xml:space="preserve">" </w:t>
      </w:r>
      <w:r>
        <w:rPr>
          <w:rFonts w:ascii="Calibri" w:hAnsi="Calibri"/>
          <w:b/>
          <w:color w:val="525866"/>
          <w:sz w:val="22"/>
        </w:rPr>
        <w:t xml:space="preserve">TROW Read-Through: </w:t>
      </w:r>
      <w:r>
        <w:rPr>
          <w:rFonts w:ascii="Calibri" w:hAnsi="Calibri"/>
          <w:color w:val="525866"/>
          <w:sz w:val="22"/>
        </w:rPr>
        <w:t>The strong AUM recovery at IVZ confirms the equity market tailwind that should benefit TROW’s Q2 average AUM and revenue. However, IVZ’s net inflow story is driven heavily by ETFs (QQQ, $30B net inflows) and passive products — TROW’s active-heavy mix means it will not see the same flow benefit.</w:t>
      </w:r>
    </w:p>
    <w:p>
      <w:r>
        <w:rPr>
          <w:rFonts w:ascii="Calibri" w:hAnsi="Calibri"/>
          <w:b/>
          <w:color w:val="525866"/>
          <w:sz w:val="22"/>
        </w:rPr>
        <w:t xml:space="preserve">Active Equity Outflows: </w:t>
      </w:r>
      <w:r>
        <w:rPr>
          <w:rFonts w:ascii="Calibri" w:hAnsi="Calibri"/>
          <w:color w:val="525866"/>
          <w:sz w:val="22"/>
        </w:rPr>
        <w:t>Invesco’s fundamental equities remained in net outflows of -$7.7B in Q2, despite some improvement in specific strategies (U.S. value saw second consecutive quarter of net inflows; Global Equity Income Fund posted +$3B). Management noted: "</w:t>
      </w:r>
      <w:r>
        <w:rPr>
          <w:rFonts w:ascii="Calibri" w:hAnsi="Calibri"/>
          <w:i/>
          <w:color w:val="525866"/>
          <w:sz w:val="22"/>
        </w:rPr>
        <w:t>improving the flow dynamics for fundamental equities is a major feature for the company... that’s going to come on the back of improved performance and product quality, but also where market demand is.</w:t>
      </w:r>
      <w:r>
        <w:rPr>
          <w:rFonts w:ascii="Calibri" w:hAnsi="Calibri"/>
          <w:color w:val="525866"/>
          <w:sz w:val="22"/>
        </w:rPr>
        <w:t xml:space="preserve">" </w:t>
      </w:r>
      <w:r>
        <w:rPr>
          <w:rFonts w:ascii="Calibri" w:hAnsi="Calibri"/>
          <w:b/>
          <w:color w:val="525866"/>
          <w:sz w:val="22"/>
        </w:rPr>
        <w:t xml:space="preserve">TROW Read-Through: </w:t>
      </w:r>
      <w:r>
        <w:rPr>
          <w:rFonts w:ascii="Calibri" w:hAnsi="Calibri"/>
          <w:color w:val="525866"/>
          <w:sz w:val="22"/>
        </w:rPr>
        <w:t>Active equity outflows remain an industry-wide headwind, consistent with TROW’s own experience. The IVZ commentary suggests no near-term inflection in active equity demand.</w:t>
      </w:r>
    </w:p>
    <w:p>
      <w:r>
        <w:rPr>
          <w:rFonts w:ascii="Calibri" w:hAnsi="Calibri"/>
          <w:b/>
          <w:color w:val="525866"/>
          <w:sz w:val="22"/>
        </w:rPr>
        <w:t xml:space="preserve">Fee Rate &amp; Margin: </w:t>
      </w:r>
      <w:r>
        <w:rPr>
          <w:rFonts w:ascii="Calibri" w:hAnsi="Calibri"/>
          <w:color w:val="525866"/>
          <w:sz w:val="22"/>
        </w:rPr>
        <w:t xml:space="preserve">IVZ’s net revenue yield was 22.4 bps for Q2, with the exit yield at 22 bps — slightly down from Q1 due to strong flows into lower-fee products (QQQ, QQQM, RSP). Adjusted operating margin expanded 300 bps sequentially to 37.5%, driven by 5% sequential net revenue growth and flat adjusted operating expenses. </w:t>
      </w:r>
      <w:r>
        <w:rPr>
          <w:rFonts w:ascii="Calibri" w:hAnsi="Calibri"/>
          <w:b/>
          <w:color w:val="525866"/>
          <w:sz w:val="22"/>
        </w:rPr>
        <w:t xml:space="preserve">TROW Read-Through: </w:t>
      </w:r>
      <w:r>
        <w:rPr>
          <w:rFonts w:ascii="Calibri" w:hAnsi="Calibri"/>
          <w:color w:val="525866"/>
          <w:sz w:val="22"/>
        </w:rPr>
        <w:t>The margin expansion story at IVZ (revenue leverage on flat expenses) is a positive read-through for TROW’s own margin trajectory, given TROW’s similar expense discipline. However, TROW’s fee rate compression is more structural (blend Target Date growth, equity outflows) than IVZ’s product-mix-driven compression.</w:t>
      </w:r>
    </w:p>
    <w:p>
      <w:r>
        <w:rPr>
          <w:rFonts w:ascii="Calibri" w:hAnsi="Calibri"/>
          <w:b/>
          <w:color w:val="525866"/>
          <w:sz w:val="22"/>
        </w:rPr>
        <w:t xml:space="preserve">Forward Outlook: </w:t>
      </w:r>
      <w:r>
        <w:rPr>
          <w:rFonts w:ascii="Calibri" w:hAnsi="Calibri"/>
          <w:color w:val="525866"/>
          <w:sz w:val="22"/>
        </w:rPr>
        <w:t>IVZ guided for near-to-medium-term operating margin to "</w:t>
      </w:r>
      <w:r>
        <w:rPr>
          <w:rFonts w:ascii="Calibri" w:hAnsi="Calibri"/>
          <w:i/>
          <w:color w:val="525866"/>
          <w:sz w:val="22"/>
        </w:rPr>
        <w:t>continue to expand and consistently deliver in the high 30s.</w:t>
      </w:r>
      <w:r>
        <w:rPr>
          <w:rFonts w:ascii="Calibri" w:hAnsi="Calibri"/>
          <w:color w:val="525866"/>
          <w:sz w:val="22"/>
        </w:rPr>
        <w:t>" Compensation as a % of revenue expected to be "</w:t>
      </w:r>
      <w:r>
        <w:rPr>
          <w:rFonts w:ascii="Calibri" w:hAnsi="Calibri"/>
          <w:i/>
          <w:color w:val="525866"/>
          <w:sz w:val="22"/>
        </w:rPr>
        <w:t>largely in the 40% context</w:t>
      </w:r>
      <w:r>
        <w:rPr>
          <w:rFonts w:ascii="Calibri" w:hAnsi="Calibri"/>
          <w:color w:val="525866"/>
          <w:sz w:val="22"/>
        </w:rPr>
        <w:t xml:space="preserve">" for 2026. </w:t>
      </w:r>
      <w:r>
        <w:rPr>
          <w:rFonts w:ascii="Calibri" w:hAnsi="Calibri"/>
          <w:b/>
          <w:color w:val="525866"/>
          <w:sz w:val="22"/>
        </w:rPr>
        <w:t xml:space="preserve">TROW Read-Through: </w:t>
      </w:r>
      <w:r>
        <w:rPr>
          <w:rFonts w:ascii="Calibri" w:hAnsi="Calibri"/>
          <w:color w:val="525866"/>
          <w:sz w:val="22"/>
        </w:rPr>
        <w:t>IVZ’s margin guidance is constructive for the sector; TROW’s own margin trajectory (37.9% in Q1) is already at the high end of the peer range, suggesting limited further expansion without revenue acceleration.</w:t>
      </w:r>
    </w:p>
    <w:p>
      <w:r>
        <w:rPr>
          <w:rFonts w:ascii="Calibri" w:hAnsi="Calibri"/>
          <w:i/>
          <w:color w:val="525866"/>
          <w:sz w:val="22"/>
        </w:rPr>
        <w:t>Source: Invesco Q2 2026 Earnings Release and Earnings Call Transcript (July 28, 2026).</w:t>
      </w:r>
    </w:p>
    <w:p>
      <w:pPr>
        <w:pStyle w:val="Heading3"/>
      </w:pPr>
      <w:r>
        <w:rPr>
          <w:rFonts w:ascii="Calibri" w:hAnsi="Calibri"/>
          <w:b/>
          <w:color w:val="3B4259"/>
          <w:sz w:val="24"/>
        </w:rPr>
        <w:t>AMG (Affiliated Managers Group) — Q2 2026 Earnings (Reported July 30, 2026)</w:t>
      </w:r>
    </w:p>
    <w:p>
      <w:r>
        <w:rPr>
          <w:rFonts w:ascii="Calibri" w:hAnsi="Calibri"/>
          <w:b/>
          <w:color w:val="525866"/>
          <w:sz w:val="22"/>
        </w:rPr>
        <w:t xml:space="preserve">Record Results &amp; Alternatives Dominance: </w:t>
      </w:r>
      <w:r>
        <w:rPr>
          <w:rFonts w:ascii="Calibri" w:hAnsi="Calibri"/>
          <w:color w:val="525866"/>
          <w:sz w:val="22"/>
        </w:rPr>
        <w:t>AMG reported record Q2 2026 results: adjusted EBITDA of ~$316M (+44% YoY) and EPS of $8.29 (+54% YoY). AUM reached a record $942B, up 7% from Q1, driven by net inflows and markets. CEO Jay Horgen stated the results set the stage for "</w:t>
      </w:r>
      <w:r>
        <w:rPr>
          <w:rFonts w:ascii="Calibri" w:hAnsi="Calibri"/>
          <w:i/>
          <w:color w:val="525866"/>
          <w:sz w:val="22"/>
        </w:rPr>
        <w:t>ongoing earnings growth momentum in the second half of 2026.</w:t>
      </w:r>
      <w:r>
        <w:rPr>
          <w:rFonts w:ascii="Calibri" w:hAnsi="Calibri"/>
          <w:color w:val="525866"/>
          <w:sz w:val="22"/>
        </w:rPr>
        <w:t xml:space="preserve">" </w:t>
      </w:r>
      <w:r>
        <w:rPr>
          <w:rFonts w:ascii="Calibri" w:hAnsi="Calibri"/>
          <w:b/>
          <w:color w:val="525866"/>
          <w:sz w:val="22"/>
        </w:rPr>
        <w:t xml:space="preserve">TROW Read-Through: </w:t>
      </w:r>
      <w:r>
        <w:rPr>
          <w:rFonts w:ascii="Calibri" w:hAnsi="Calibri"/>
          <w:color w:val="525866"/>
          <w:sz w:val="22"/>
        </w:rPr>
        <w:t>AMG’s record results confirm the strong Q2 market environment for asset managers. The AUM recovery is a direct positive read-through for TROW’s average AUM and revenue.</w:t>
      </w:r>
    </w:p>
    <w:p>
      <w:r>
        <w:rPr>
          <w:rFonts w:ascii="Calibri" w:hAnsi="Calibri"/>
          <w:b/>
          <w:color w:val="525866"/>
          <w:sz w:val="22"/>
        </w:rPr>
        <w:t xml:space="preserve">Alternatives Flows: </w:t>
      </w:r>
      <w:r>
        <w:rPr>
          <w:rFonts w:ascii="Calibri" w:hAnsi="Calibri"/>
          <w:color w:val="525866"/>
          <w:sz w:val="22"/>
        </w:rPr>
        <w:t>AMG generated $13B in net inflows in Q2, with $29B in net flows into higher-fee alternative strategies. Alternatives now account for "</w:t>
      </w:r>
      <w:r>
        <w:rPr>
          <w:rFonts w:ascii="Calibri" w:hAnsi="Calibri"/>
          <w:i/>
          <w:color w:val="525866"/>
          <w:sz w:val="22"/>
        </w:rPr>
        <w:t>more than 60% of our earnings today</w:t>
      </w:r>
      <w:r>
        <w:rPr>
          <w:rFonts w:ascii="Calibri" w:hAnsi="Calibri"/>
          <w:color w:val="525866"/>
          <w:sz w:val="22"/>
        </w:rPr>
        <w:t>" and are expected to reach 70% "</w:t>
      </w:r>
      <w:r>
        <w:rPr>
          <w:rFonts w:ascii="Calibri" w:hAnsi="Calibri"/>
          <w:i/>
          <w:color w:val="525866"/>
          <w:sz w:val="22"/>
        </w:rPr>
        <w:t>in a relatively short order.</w:t>
      </w:r>
      <w:r>
        <w:rPr>
          <w:rFonts w:ascii="Calibri" w:hAnsi="Calibri"/>
          <w:color w:val="525866"/>
          <w:sz w:val="22"/>
        </w:rPr>
        <w:t>" Liquid alternatives saw net inflows at "</w:t>
      </w:r>
      <w:r>
        <w:rPr>
          <w:rFonts w:ascii="Calibri" w:hAnsi="Calibri"/>
          <w:i/>
          <w:color w:val="525866"/>
          <w:sz w:val="22"/>
        </w:rPr>
        <w:t>the highest level since 2007.</w:t>
      </w:r>
      <w:r>
        <w:rPr>
          <w:rFonts w:ascii="Calibri" w:hAnsi="Calibri"/>
          <w:color w:val="525866"/>
          <w:sz w:val="22"/>
        </w:rPr>
        <w:t xml:space="preserve">" </w:t>
      </w:r>
      <w:r>
        <w:rPr>
          <w:rFonts w:ascii="Calibri" w:hAnsi="Calibri"/>
          <w:b/>
          <w:color w:val="525866"/>
          <w:sz w:val="22"/>
        </w:rPr>
        <w:t xml:space="preserve">TROW Read-Through: </w:t>
      </w:r>
      <w:r>
        <w:rPr>
          <w:rFonts w:ascii="Calibri" w:hAnsi="Calibri"/>
          <w:color w:val="525866"/>
          <w:sz w:val="22"/>
        </w:rPr>
        <w:t>Extremely positive for TROW’s OHA strategy. The institutional demand for alternatives that AMG is capturing is the same demand TROW is targeting through OHA’s wealth, insurance, and institutional channels. AMG’s commentary validates TROW’s strategic pivot toward alternatives.</w:t>
      </w:r>
    </w:p>
    <w:p>
      <w:r>
        <w:rPr>
          <w:rFonts w:ascii="Calibri" w:hAnsi="Calibri"/>
          <w:b/>
          <w:color w:val="525866"/>
          <w:sz w:val="22"/>
        </w:rPr>
        <w:t xml:space="preserve">Active Equity Outflows: </w:t>
      </w:r>
      <w:r>
        <w:rPr>
          <w:rFonts w:ascii="Calibri" w:hAnsi="Calibri"/>
          <w:color w:val="525866"/>
          <w:sz w:val="22"/>
        </w:rPr>
        <w:t>AMG’s "differentiated, long-only equity strategies saw net outflows of $14B" in Q2, though management expects flows "</w:t>
      </w:r>
      <w:r>
        <w:rPr>
          <w:rFonts w:ascii="Calibri" w:hAnsi="Calibri"/>
          <w:i/>
          <w:color w:val="525866"/>
          <w:sz w:val="22"/>
        </w:rPr>
        <w:t>to improve over the medium to long term, consistent with the generally improving trend we have seen in recent quarters.</w:t>
      </w:r>
      <w:r>
        <w:rPr>
          <w:rFonts w:ascii="Calibri" w:hAnsi="Calibri"/>
          <w:color w:val="525866"/>
          <w:sz w:val="22"/>
        </w:rPr>
        <w:t xml:space="preserve">" The earnings contribution of long-only equity affiliates has declined to 35% of AMG’s total. </w:t>
      </w:r>
      <w:r>
        <w:rPr>
          <w:rFonts w:ascii="Calibri" w:hAnsi="Calibri"/>
          <w:b/>
          <w:color w:val="525866"/>
          <w:sz w:val="22"/>
        </w:rPr>
        <w:t xml:space="preserve">TROW Read-Through: </w:t>
      </w:r>
      <w:r>
        <w:rPr>
          <w:rFonts w:ascii="Calibri" w:hAnsi="Calibri"/>
          <w:color w:val="525866"/>
          <w:sz w:val="22"/>
        </w:rPr>
        <w:t>Confirms that active equity outflows remain an industry-wide structural headwind. The declining earnings contribution of long-only equity at AMG mirrors TROW’s own challenge, though TROW’s equity franchise is still a larger share of its business.</w:t>
      </w:r>
    </w:p>
    <w:p>
      <w:r>
        <w:rPr>
          <w:rFonts w:ascii="Calibri" w:hAnsi="Calibri"/>
          <w:b/>
          <w:color w:val="525866"/>
          <w:sz w:val="22"/>
        </w:rPr>
        <w:t xml:space="preserve">Q3 2026 Guidance: </w:t>
      </w:r>
      <w:r>
        <w:rPr>
          <w:rFonts w:ascii="Calibri" w:hAnsi="Calibri"/>
          <w:color w:val="525866"/>
          <w:sz w:val="22"/>
        </w:rPr>
        <w:t>AMG guided Q3 2026 adjusted EBITDA of $315M–$325M and economic EPS of $8.43–$8.71 (midpoint ~+40% YoY). Market blend was "</w:t>
      </w:r>
      <w:r>
        <w:rPr>
          <w:rFonts w:ascii="Calibri" w:hAnsi="Calibri"/>
          <w:i/>
          <w:color w:val="525866"/>
          <w:sz w:val="22"/>
        </w:rPr>
        <w:t>down 2% quarter to date as of July 29th</w:t>
      </w:r>
      <w:r>
        <w:rPr>
          <w:rFonts w:ascii="Calibri" w:hAnsi="Calibri"/>
          <w:color w:val="525866"/>
          <w:sz w:val="22"/>
        </w:rPr>
        <w:t xml:space="preserve">" — a modest headwind for Q3 AUM. </w:t>
      </w:r>
      <w:r>
        <w:rPr>
          <w:rFonts w:ascii="Calibri" w:hAnsi="Calibri"/>
          <w:b/>
          <w:color w:val="525866"/>
          <w:sz w:val="22"/>
        </w:rPr>
        <w:t xml:space="preserve">TROW Read-Through: </w:t>
      </w:r>
      <w:r>
        <w:rPr>
          <w:rFonts w:ascii="Calibri" w:hAnsi="Calibri"/>
          <w:color w:val="525866"/>
          <w:sz w:val="22"/>
        </w:rPr>
        <w:t>The early-July market softness (S&amp;P 500 down ~1.6% from June 30 to July 29) is a modest headwind for TROW’s Q3 average AUM, but not material for the Q2 print.</w:t>
      </w:r>
    </w:p>
    <w:p>
      <w:r>
        <w:rPr>
          <w:rFonts w:ascii="Calibri" w:hAnsi="Calibri"/>
          <w:i/>
          <w:color w:val="525866"/>
          <w:sz w:val="22"/>
        </w:rPr>
        <w:t>Source: AMG Q2 2026 Earnings Release and Earnings Call Transcript (July 30, 2026).</w:t>
      </w:r>
    </w:p>
    <w:p>
      <w:pPr>
        <w:pStyle w:val="Heading3"/>
      </w:pPr>
      <w:r>
        <w:rPr>
          <w:rFonts w:ascii="Calibri" w:hAnsi="Calibri"/>
          <w:b/>
          <w:color w:val="3B4259"/>
          <w:sz w:val="24"/>
        </w:rPr>
        <w:t>Artisan Partners (APAM) — Q2 2026 Earnings (Reported July 29, 2026)</w:t>
      </w:r>
    </w:p>
    <w:p>
      <w:r>
        <w:rPr>
          <w:rFonts w:ascii="Calibri" w:hAnsi="Calibri"/>
          <w:b/>
          <w:color w:val="525866"/>
          <w:sz w:val="22"/>
        </w:rPr>
        <w:t xml:space="preserve">AUM &amp; Flows: </w:t>
      </w:r>
      <w:r>
        <w:rPr>
          <w:rFonts w:ascii="Calibri" w:hAnsi="Calibri"/>
          <w:color w:val="525866"/>
          <w:sz w:val="22"/>
        </w:rPr>
        <w:t xml:space="preserve">APAM reported record quarter-end AUM of $183B, up 6% from Q1 and 5% YoY. Average AUM was $182B, flat sequentially but up 9% YoY. Net client outflows totaled -$10.5B, with ~90% driven by the wind-down of the U.S. value team ($6.4B) and growth strategies ($2.8B). Excluding these idiosyncratic outflows, the underlying flow picture was more constructive: credit strategies generated +$700M (16th consecutive quarter of positive organic growth, 15% annualized), and alternatives gathered +$300M (25% annualized organic growth). </w:t>
      </w:r>
      <w:r>
        <w:rPr>
          <w:rFonts w:ascii="Calibri" w:hAnsi="Calibri"/>
          <w:b/>
          <w:color w:val="525866"/>
          <w:sz w:val="22"/>
        </w:rPr>
        <w:t xml:space="preserve">TROW Read-Through: </w:t>
      </w:r>
      <w:r>
        <w:rPr>
          <w:rFonts w:ascii="Calibri" w:hAnsi="Calibri"/>
          <w:color w:val="525866"/>
          <w:sz w:val="22"/>
        </w:rPr>
        <w:t>APAM’s experience confirms that active equity outflows remain concentrated in specific strategies, while credit and alternatives are seeing strong demand — consistent with TROW’s own flow dynamics.</w:t>
      </w:r>
    </w:p>
    <w:p>
      <w:r>
        <w:rPr>
          <w:rFonts w:ascii="Calibri" w:hAnsi="Calibri"/>
          <w:b/>
          <w:color w:val="525866"/>
          <w:sz w:val="22"/>
        </w:rPr>
        <w:t xml:space="preserve">Fee Rate: </w:t>
      </w:r>
      <w:r>
        <w:rPr>
          <w:rFonts w:ascii="Calibri" w:hAnsi="Calibri"/>
          <w:color w:val="525866"/>
          <w:sz w:val="22"/>
        </w:rPr>
        <w:t>APAM’s weighted average fee rate was 68 bps in Q2, up from Q1 primarily due to the loss of U.S. value team mandates (which were lower-fee). Management noted year-to-date fee rates are "</w:t>
      </w:r>
      <w:r>
        <w:rPr>
          <w:rFonts w:ascii="Calibri" w:hAnsi="Calibri"/>
          <w:i/>
          <w:color w:val="525866"/>
          <w:sz w:val="22"/>
        </w:rPr>
        <w:t>pretty good jumping off points</w:t>
      </w:r>
      <w:r>
        <w:rPr>
          <w:rFonts w:ascii="Calibri" w:hAnsi="Calibri"/>
          <w:color w:val="525866"/>
          <w:sz w:val="22"/>
        </w:rPr>
        <w:t xml:space="preserve">" for future periods. </w:t>
      </w:r>
      <w:r>
        <w:rPr>
          <w:rFonts w:ascii="Calibri" w:hAnsi="Calibri"/>
          <w:b/>
          <w:color w:val="525866"/>
          <w:sz w:val="22"/>
        </w:rPr>
        <w:t xml:space="preserve">TROW Read-Through: </w:t>
      </w:r>
      <w:r>
        <w:rPr>
          <w:rFonts w:ascii="Calibri" w:hAnsi="Calibri"/>
          <w:color w:val="525866"/>
          <w:sz w:val="22"/>
        </w:rPr>
        <w:t>APAM’s fee rate stability (and even slight improvement) is a modest positive read-through, though TROW’s fee rate compression is more structural given the scale of blend Target Date growth.</w:t>
      </w:r>
    </w:p>
    <w:p>
      <w:r>
        <w:rPr>
          <w:rFonts w:ascii="Calibri" w:hAnsi="Calibri"/>
          <w:b/>
          <w:color w:val="525866"/>
          <w:sz w:val="22"/>
        </w:rPr>
        <w:t xml:space="preserve">Margin &amp; Expenses: </w:t>
      </w:r>
      <w:r>
        <w:rPr>
          <w:rFonts w:ascii="Calibri" w:hAnsi="Calibri"/>
          <w:color w:val="525866"/>
          <w:sz w:val="22"/>
        </w:rPr>
        <w:t xml:space="preserve">APAM’s adjusted operating margin expanded 180 bps sequentially to 32.9%. Fixed expenses are expected to decline in Q3 due to roll-off of seasonal expenses and lower employee separation costs. Full-year fixed expense guidance remains mid-single digits. </w:t>
      </w:r>
      <w:r>
        <w:rPr>
          <w:rFonts w:ascii="Calibri" w:hAnsi="Calibri"/>
          <w:b/>
          <w:color w:val="525866"/>
          <w:sz w:val="22"/>
        </w:rPr>
        <w:t xml:space="preserve">TROW Read-Through: </w:t>
      </w:r>
      <w:r>
        <w:rPr>
          <w:rFonts w:ascii="Calibri" w:hAnsi="Calibri"/>
          <w:color w:val="525866"/>
          <w:sz w:val="22"/>
        </w:rPr>
        <w:t>APAM’s margin expansion on lower expenses is a positive read-through for TROW’s own expense discipline narrative.</w:t>
      </w:r>
    </w:p>
    <w:p>
      <w:r>
        <w:rPr>
          <w:rFonts w:ascii="Calibri" w:hAnsi="Calibri"/>
          <w:b/>
          <w:color w:val="525866"/>
          <w:sz w:val="22"/>
        </w:rPr>
        <w:t xml:space="preserve">Client Sentiment: </w:t>
      </w:r>
      <w:r>
        <w:rPr>
          <w:rFonts w:ascii="Calibri" w:hAnsi="Calibri"/>
          <w:color w:val="525866"/>
          <w:sz w:val="22"/>
        </w:rPr>
        <w:t>APAM management noted "</w:t>
      </w:r>
      <w:r>
        <w:rPr>
          <w:rFonts w:ascii="Calibri" w:hAnsi="Calibri"/>
          <w:i/>
          <w:color w:val="525866"/>
          <w:sz w:val="22"/>
        </w:rPr>
        <w:t>a slightly more cautious tone</w:t>
      </w:r>
      <w:r>
        <w:rPr>
          <w:rFonts w:ascii="Calibri" w:hAnsi="Calibri"/>
          <w:color w:val="525866"/>
          <w:sz w:val="22"/>
        </w:rPr>
        <w:t>" across global risk assets, particularly equity, with "</w:t>
      </w:r>
      <w:r>
        <w:rPr>
          <w:rFonts w:ascii="Calibri" w:hAnsi="Calibri"/>
          <w:i/>
          <w:color w:val="525866"/>
          <w:sz w:val="22"/>
        </w:rPr>
        <w:t>a fair bit of rebalancing activity across a number of our largest relationships.</w:t>
      </w:r>
      <w:r>
        <w:rPr>
          <w:rFonts w:ascii="Calibri" w:hAnsi="Calibri"/>
          <w:color w:val="525866"/>
          <w:sz w:val="22"/>
        </w:rPr>
        <w:t xml:space="preserve">" Clients are increasingly looking toward credit, income-oriented strategies, and alternatives for differentiated returns. </w:t>
      </w:r>
      <w:r>
        <w:rPr>
          <w:rFonts w:ascii="Calibri" w:hAnsi="Calibri"/>
          <w:b/>
          <w:color w:val="525866"/>
          <w:sz w:val="22"/>
        </w:rPr>
        <w:t xml:space="preserve">TROW Read-Through: </w:t>
      </w:r>
      <w:r>
        <w:rPr>
          <w:rFonts w:ascii="Calibri" w:hAnsi="Calibri"/>
          <w:color w:val="525866"/>
          <w:sz w:val="22"/>
        </w:rPr>
        <w:t>The cautious institutional tone on equities is consistent with TROW’s ongoing equity outflow challenge. The shift toward credit and alternatives validates TROW’s OHA and fixed income positioning.</w:t>
      </w:r>
    </w:p>
    <w:p>
      <w:r>
        <w:rPr>
          <w:rFonts w:ascii="Calibri" w:hAnsi="Calibri"/>
          <w:i/>
          <w:color w:val="525866"/>
          <w:sz w:val="22"/>
        </w:rPr>
        <w:t>Source: Artisan Partners Q2 2026 Earnings Call Transcript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