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Tyson Foods (TSN) before writing the preview. Let me gather recent earnings materials, filings, and news.Let me read the most recent (Q2 FY2026) earnings call and release, plus check current news and stock price.Let me get the prior-year Q3 (FY2025) release for YoY comparisons, plus recent news and stock price.I have strong fundamental data. Let me do a quick check on the cattle/screwworm backdrop and analyst positioning for current context.I now have everything I need. Here's the earnings preview.</w:t>
      </w:r>
    </w:p>
    <w:p>
      <w:r>
        <w:pict>
          <v:rect style="width:0;height:1.5pt" o:hralign="center" o:hrstd="t" o:hr="t"/>
        </w:pict>
      </w:r>
    </w:p>
    <w:bookmarkStart w:id="22" w:name="Xf92054901baa1de324c02dd8f05f2e0034450f6"/>
    <w:p>
      <w:pPr>
        <w:pStyle w:val="Heading1"/>
      </w:pPr>
      <w:r>
        <w:t xml:space="preserve">Tyson Foods (TSN) — FY2026 Q3 Earnings Preview</w:t>
      </w:r>
    </w:p>
    <w:bookmarkStart w:id="9" w:name="Xe73f87a50e58b08a6511d88ff8299a8127f553f"/>
    <w:p>
      <w:pPr>
        <w:pStyle w:val="Heading3"/>
      </w:pPr>
      <w:r>
        <w:t xml:space="preserve">Reports Monday, August 3, 2026 (before the open) | Fiscal Q3 ended ~June 27, 2026</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Tyson goes into this print as a "</w:t>
      </w:r>
      <w:r>
        <w:rPr>
          <w:b/>
          <w:bCs/>
        </w:rPr>
        <w:t xml:space="preserve">good businesses masking one bad one</w:t>
      </w:r>
      <w:r>
        <w:t xml:space="preserve">" story: Chicken and Prepared Foods are firing on all cylinders and carrying raised full-year guidance, while Beef remains in the depths of a record-tight cattle cycle. The stock has round-tripped its post-Q2 rally and sits roughly flat year-to-date (~</w:t>
      </w:r>
      <m:oMath>
        <m:r>
          <m:t>58</m:t>
        </m:r>
        <m:r>
          <m:t>o</m:t>
        </m:r>
        <m:r>
          <m:t>n</m:t>
        </m:r>
        <m:r>
          <m:t>7</m:t>
        </m:r>
        <m:r>
          <m:rPr>
            <m:sty m:val="p"/>
          </m:rPr>
          <m:t>/</m:t>
        </m:r>
        <m:r>
          <m:t>31</m:t>
        </m:r>
        <m:r>
          <m:t>v</m:t>
        </m:r>
        <m:r>
          <m:t>s</m:t>
        </m:r>
        <m:r>
          <m:rPr>
            <m:sty m:val="p"/>
          </m:rPr>
          <m:t>.</m:t>
        </m:r>
        <m:r>
          <m:t> </m:t>
        </m:r>
      </m:oMath>
      <w:r>
        <w:t xml:space="preserve">58 on 1/2), with sentiment described by the sell-side as</w:t>
      </w:r>
      <w:r>
        <w:t xml:space="preserve"> </w:t>
      </w:r>
      <w:r>
        <w:rPr>
          <w:i/>
          <w:iCs/>
        </w:rPr>
        <w:t xml:space="preserve">at best neutral</w:t>
      </w:r>
      <w:r>
        <w:t xml:space="preserve">. The debate is whether protein-demand momentum and self-help can keep offsetting the beef drag — and how investors frame the late-July catalyst of the U.S.–Mexico cattle border reopening.</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Q3 FY26 Consensus</w:t>
            </w:r>
          </w:p>
        </w:tc>
        <w:tc>
          <w:tcPr/>
          <w:p>
            <w:pPr>
              <w:pStyle w:val="Compact"/>
            </w:pPr>
            <w:r>
              <w:t xml:space="preserve">Q3 FY25 Actual (adj.)</w:t>
            </w:r>
          </w:p>
        </w:tc>
        <w:tc>
          <w:tcPr/>
          <w:p>
            <w:pPr>
              <w:pStyle w:val="Compact"/>
            </w:pPr>
            <w:r>
              <w:t xml:space="preserve">Implied Y/Y</w:t>
            </w:r>
          </w:p>
        </w:tc>
      </w:tr>
      <w:tr>
        <w:tc>
          <w:tcPr/>
          <w:p>
            <w:pPr>
              <w:pStyle w:val="Compact"/>
            </w:pPr>
            <w:r>
              <w:t xml:space="preserve">Revenue</w:t>
            </w:r>
          </w:p>
        </w:tc>
        <w:tc>
          <w:tcPr/>
          <w:p>
            <w:pPr>
              <w:pStyle w:val="Compact"/>
            </w:pPr>
            <w:r>
              <w:t xml:space="preserve">~$14.1B</w:t>
            </w:r>
          </w:p>
        </w:tc>
        <w:tc>
          <w:tcPr/>
          <w:p>
            <w:pPr>
              <w:pStyle w:val="Compact"/>
            </w:pPr>
            <w:r>
              <w:t xml:space="preserve">$13,884M</w:t>
            </w:r>
          </w:p>
        </w:tc>
        <w:tc>
          <w:tcPr/>
          <w:p>
            <w:pPr>
              <w:pStyle w:val="Compact"/>
            </w:pPr>
            <w:r>
              <w:t xml:space="preserve">~+1.5%</w:t>
            </w:r>
          </w:p>
        </w:tc>
      </w:tr>
      <w:tr>
        <w:tc>
          <w:tcPr/>
          <w:p>
            <w:pPr>
              <w:pStyle w:val="Compact"/>
            </w:pPr>
            <w:r>
              <w:t xml:space="preserve">Adjusted EPS</w:t>
            </w:r>
          </w:p>
        </w:tc>
        <w:tc>
          <w:tcPr/>
          <w:p>
            <w:pPr>
              <w:pStyle w:val="Compact"/>
            </w:pPr>
            <w:r>
              <w:t xml:space="preserve">~$0.99–1.00</w:t>
            </w:r>
          </w:p>
        </w:tc>
        <w:tc>
          <w:tcPr/>
          <w:p>
            <w:pPr>
              <w:pStyle w:val="Compact"/>
            </w:pPr>
            <w:r>
              <w:t xml:space="preserve">$0.91</w:t>
            </w:r>
          </w:p>
        </w:tc>
        <w:tc>
          <w:tcPr/>
          <w:p>
            <w:pPr>
              <w:pStyle w:val="Compact"/>
            </w:pPr>
            <w:r>
              <w:t xml:space="preserve">~+9%</w:t>
            </w:r>
          </w:p>
        </w:tc>
      </w:tr>
    </w:tbl>
    <w:p>
      <w:pPr>
        <w:pStyle w:val="Compact"/>
        <w:numPr>
          <w:ilvl w:val="0"/>
          <w:numId w:val="1001"/>
        </w:numPr>
      </w:pPr>
      <w:r>
        <w:t xml:space="preserve">Consensus (per multiple previews) is revenue of ~</w:t>
      </w:r>
      <m:oMath>
        <m:r>
          <m:t>14.07</m:t>
        </m:r>
        <m:r>
          <m:rPr>
            <m:sty m:val="p"/>
          </m:rPr>
          <m:t>–</m:t>
        </m:r>
        <m:r>
          <m:t>14.1</m:t>
        </m:r>
        <m:r>
          <m:t>B</m:t>
        </m:r>
        <m:r>
          <m:t>a</m:t>
        </m:r>
        <m:r>
          <m:t>n</m:t>
        </m:r>
        <m:r>
          <m:t>d</m:t>
        </m:r>
        <m:r>
          <m:t>E</m:t>
        </m:r>
        <m:r>
          <m:t>P</m:t>
        </m:r>
        <m:r>
          <m:t>S</m:t>
        </m:r>
        <m:r>
          <m:t>o</m:t>
        </m:r>
        <m:r>
          <m:t>f</m:t>
        </m:r>
        <m:r>
          <m:t> </m:t>
        </m:r>
      </m:oMath>
      <w:r>
        <w:t xml:space="preserve">0.99–1.00 across ~9 analysts.</w:t>
      </w:r>
    </w:p>
    <w:p>
      <w:pPr>
        <w:pStyle w:val="Compact"/>
        <w:numPr>
          <w:ilvl w:val="0"/>
          <w:numId w:val="1001"/>
        </w:numPr>
      </w:pPr>
      <w:r>
        <w:t xml:space="preserve">Note on comparability: starting FY26, Tyson</w:t>
      </w:r>
      <w:r>
        <w:t xml:space="preserve"> </w:t>
      </w:r>
      <w:r>
        <w:rPr>
          <w:b/>
          <w:bCs/>
        </w:rPr>
        <w:t xml:space="preserve">no longer allocates corporate expenses/amortization to segments</w:t>
      </w:r>
      <w:r>
        <w:t xml:space="preserve">, and all prior periods were recast. When Tyson reports segment numbers Monday, compare against</w:t>
      </w:r>
      <w:r>
        <w:t xml:space="preserve"> </w:t>
      </w:r>
      <w:r>
        <w:rPr>
          <w:b/>
          <w:bCs/>
        </w:rPr>
        <w:t xml:space="preserve">recast</w:t>
      </w:r>
      <w:r>
        <w:t xml:space="preserve"> </w:t>
      </w:r>
      <w:r>
        <w:t xml:space="preserve">FY25 figures, not the originally-reported ones (e.g., Q2 FY25 Chicken was recast to $411M adj. vs. $345M-type numbers under the old method). Segment margins will look structurally higher under the new presentation.</w:t>
      </w:r>
    </w:p>
    <w:p>
      <w:r>
        <w:pict>
          <v:rect style="width:0;height:1.5pt" o:hralign="center" o:hrstd="t" o:hr="t"/>
        </w:pict>
      </w:r>
    </w:p>
    <w:bookmarkEnd w:id="11"/>
    <w:bookmarkStart w:id="17" w:name="the-five-things-that-matter"/>
    <w:p>
      <w:pPr>
        <w:pStyle w:val="Heading2"/>
      </w:pPr>
      <w:r>
        <w:t xml:space="preserve">The five things that matter</w:t>
      </w:r>
    </w:p>
    <w:bookmarkStart w:id="12" w:name="X362bbe746e52def1da340fe9bc7125cb52d3ad3"/>
    <w:p>
      <w:pPr>
        <w:pStyle w:val="Heading3"/>
      </w:pPr>
      <w:r>
        <w:t xml:space="preserve">1. Chicken — is the "structural" story real, or peak?</w:t>
      </w:r>
    </w:p>
    <w:p>
      <w:pPr>
        <w:pStyle w:val="FirstParagraph"/>
      </w:pPr>
      <w:r>
        <w:t xml:space="preserve">Chicken has been the engine. In Q2 FY26 it delivered</w:t>
      </w:r>
      <w:r>
        <w:t xml:space="preserve"> </w:t>
      </w:r>
      <m:oMath>
        <m:r>
          <m:t>523</m:t>
        </m:r>
        <m:r>
          <m:t>M</m:t>
        </m:r>
        <m:r>
          <m:t>o</m:t>
        </m:r>
        <m:r>
          <m:t>f</m:t>
        </m:r>
        <m:r>
          <m:t>s</m:t>
        </m:r>
        <m:r>
          <m:t>e</m:t>
        </m:r>
        <m:r>
          <m:t>g</m:t>
        </m:r>
        <m:r>
          <m:t>m</m:t>
        </m:r>
        <m:r>
          <m:t>e</m:t>
        </m:r>
        <m:r>
          <m:t>n</m:t>
        </m:r>
        <m:r>
          <m:t>t</m:t>
        </m:r>
        <m:r>
          <m:t>o</m:t>
        </m:r>
        <m:r>
          <m:t>p</m:t>
        </m:r>
        <m:r>
          <m:t>e</m:t>
        </m:r>
        <m:r>
          <m:t>r</m:t>
        </m:r>
        <m:r>
          <m:t>a</m:t>
        </m:r>
        <m:r>
          <m:t>t</m:t>
        </m:r>
        <m:r>
          <m:t>i</m:t>
        </m:r>
        <m:r>
          <m:t>n</m:t>
        </m:r>
        <m:r>
          <m:t>g</m:t>
        </m:r>
        <m:r>
          <m:t>i</m:t>
        </m:r>
        <m:r>
          <m:t>n</m:t>
        </m:r>
        <m:r>
          <m:t>c</m:t>
        </m:r>
        <m:r>
          <m:t>o</m:t>
        </m:r>
        <m:r>
          <m:t>m</m:t>
        </m:r>
        <m:r>
          <m:t>e</m:t>
        </m:r>
        <m:r>
          <m:t>a</m:t>
        </m:r>
        <m:r>
          <m:t>t</m:t>
        </m:r>
        <m:r>
          <m:t>a</m:t>
        </m:r>
        <m:r>
          <m:t>12.2</m:t>
        </m:r>
      </m:oMath>
      <w:r>
        <w:rPr>
          <w:b/>
          <w:bCs/>
        </w:rPr>
        <w:t xml:space="preserve">200M to $1.9–2.05B</w:t>
      </w:r>
      <w:r>
        <w:t xml:space="preserve">. CEO Donnie King framed the strength as execution-driven (not commodity tailwinds), across three roughly-equal buckets: commercial mix, strategic-customer partnerships, and a</w:t>
      </w:r>
      <w:r>
        <w:t xml:space="preserve"> </w:t>
      </w:r>
      <w:r>
        <w:rPr>
          <w:b/>
          <w:bCs/>
        </w:rPr>
        <w:t xml:space="preserve">reinvigorated chicken genetics business</w:t>
      </w:r>
      <w:r>
        <w:t xml:space="preserve">.</w:t>
      </w:r>
    </w:p>
    <w:p>
      <w:pPr>
        <w:pStyle w:val="Compact"/>
        <w:numPr>
          <w:ilvl w:val="0"/>
          <w:numId w:val="1002"/>
        </w:numPr>
      </w:pPr>
      <w:r>
        <w:rPr>
          <w:b/>
          <w:bCs/>
        </w:rPr>
        <w:t xml:space="preserve">Watch the genetics narrative.</w:t>
      </w:r>
      <w:r>
        <w:t xml:space="preserve"> </w:t>
      </w:r>
      <w:r>
        <w:t xml:space="preserve">Management says genetics contributed ~1/3 of the Chicken YoY improvement and that the bigger prize — improved yields/cost as the new large-bird genetics flow through the broiler flock — is</w:t>
      </w:r>
      <w:r>
        <w:t xml:space="preserve"> </w:t>
      </w:r>
      <w:r>
        <w:rPr>
          <w:i/>
          <w:iCs/>
        </w:rPr>
        <w:t xml:space="preserve">still ahead</w:t>
      </w:r>
      <w:r>
        <w:t xml:space="preserve">. King even quantified the optionality (genetics companies trade at 20–25x; he pegged it at ~$9–10/share of hidden value). This is the newest and least-understood part of the bull case; any incremental disclosure will move the stock.</w:t>
      </w:r>
    </w:p>
    <w:p>
      <w:pPr>
        <w:pStyle w:val="Compact"/>
        <w:numPr>
          <w:ilvl w:val="0"/>
          <w:numId w:val="1002"/>
        </w:numPr>
      </w:pPr>
      <w:r>
        <w:rPr>
          <w:b/>
          <w:bCs/>
        </w:rPr>
        <w:t xml:space="preserve">The bar:</w:t>
      </w:r>
      <w:r>
        <w:t xml:space="preserve"> </w:t>
      </w:r>
      <w:r>
        <w:t xml:space="preserve">six straight quarters of YoY volume + net-sales growth. H1 Chicken adj. OI was ~</w:t>
      </w:r>
      <m:oMath>
        <m:r>
          <m:t>982</m:t>
        </m:r>
        <m:r>
          <m:t>M</m:t>
        </m:r>
        <m:r>
          <m:rPr>
            <m:sty m:val="p"/>
          </m:rPr>
          <m:t>,</m:t>
        </m:r>
        <m:r>
          <m:t>s</m:t>
        </m:r>
        <m:r>
          <m:t>o</m:t>
        </m:r>
        <m:r>
          <m:t>t</m:t>
        </m:r>
        <m:r>
          <m:t>h</m:t>
        </m:r>
        <m:r>
          <m:t>e</m:t>
        </m:r>
        <m:r>
          <m:t>f</m:t>
        </m:r>
        <m:r>
          <m:t>u</m:t>
        </m:r>
        <m:r>
          <m:t>l</m:t>
        </m:r>
        <m:r>
          <m:t>l</m:t>
        </m:r>
        <m:r>
          <m:rPr>
            <m:sty m:val="p"/>
          </m:rPr>
          <m:t>−</m:t>
        </m:r>
        <m:r>
          <m:t>y</m:t>
        </m:r>
        <m:r>
          <m:t>e</m:t>
        </m:r>
        <m:r>
          <m:t>a</m:t>
        </m:r>
        <m:r>
          <m:t>r</m:t>
        </m:r>
        <m:r>
          <m:t>g</m:t>
        </m:r>
        <m:r>
          <m:t>u</m:t>
        </m:r>
        <m:r>
          <m:t>i</m:t>
        </m:r>
        <m:r>
          <m:t>d</m:t>
        </m:r>
        <m:r>
          <m:t>e</m:t>
        </m:r>
        <m:r>
          <m:t>i</m:t>
        </m:r>
        <m:r>
          <m:t>m</m:t>
        </m:r>
        <m:r>
          <m:t>p</m:t>
        </m:r>
        <m:r>
          <m:t>l</m:t>
        </m:r>
        <m:r>
          <m:t>i</m:t>
        </m:r>
        <m:r>
          <m:t>e</m:t>
        </m:r>
        <m:r>
          <m:t>s</m:t>
        </m:r>
        <m:r>
          <m:t>a</m:t>
        </m:r>
        <m:r>
          <m:t>r</m:t>
        </m:r>
        <m:r>
          <m:t>o</m:t>
        </m:r>
        <m:r>
          <m:t>u</m:t>
        </m:r>
        <m:r>
          <m:t>g</m:t>
        </m:r>
        <m:r>
          <m:t>h</m:t>
        </m:r>
        <m:r>
          <m:t>l</m:t>
        </m:r>
        <m:r>
          <m:t>y</m:t>
        </m:r>
        <m:r>
          <m:t>b</m:t>
        </m:r>
        <m:r>
          <m:t>a</m:t>
        </m:r>
        <m:r>
          <m:t>l</m:t>
        </m:r>
        <m:r>
          <m:t>a</m:t>
        </m:r>
        <m:r>
          <m:t>n</m:t>
        </m:r>
        <m:r>
          <m:t>c</m:t>
        </m:r>
        <m:r>
          <m:t>e</m:t>
        </m:r>
        <m:r>
          <m:t>d</m:t>
        </m:r>
        <m:r>
          <m:t>2</m:t>
        </m:r>
        <m:r>
          <m:t>H</m:t>
        </m:r>
        <m:r>
          <m:rPr>
            <m:sty m:val="p"/>
          </m:rPr>
          <m:t>(</m:t>
        </m:r>
        <m:r>
          <m:t> </m:t>
        </m:r>
      </m:oMath>
      <w:r>
        <w:t xml:space="preserve">920M–$1.07B). CFO Curt Calaway guided to a ~48/52–52/48 front/back-half split. Consistency, not a beat, is the tell.</w:t>
      </w:r>
    </w:p>
    <w:bookmarkEnd w:id="12"/>
    <w:bookmarkStart w:id="13" w:name="X321f9492fdf2c5c7a18ffd698ed3cb149137380"/>
    <w:p>
      <w:pPr>
        <w:pStyle w:val="Heading3"/>
      </w:pPr>
      <w:r>
        <w:t xml:space="preserve">2. Beef — how deep is the hole, and the screwworm/border wildcard</w:t>
      </w:r>
    </w:p>
    <w:p>
      <w:pPr>
        <w:pStyle w:val="FirstParagraph"/>
      </w:pPr>
      <w:r>
        <w:t xml:space="preserve">Beef is the clear soft spot. Q2 FY26 adj. loss was</w:t>
      </w:r>
      <w:r>
        <w:t xml:space="preserve"> </w:t>
      </w:r>
      <m:oMath>
        <m:r>
          <m:rPr>
            <m:sty m:val="p"/>
          </m:rPr>
          <m:t>(</m:t>
        </m:r>
        <m:r>
          <m:t>202</m:t>
        </m:r>
        <m:r>
          <m:rPr>
            <m:sty m:val="p"/>
          </m:rPr>
          <m:t>)</m:t>
        </m:r>
        <m:r>
          <m:t>M</m:t>
        </m:r>
        <m:r>
          <m:rPr>
            <m:sty m:val="p"/>
          </m:rPr>
          <m:t>*</m:t>
        </m:r>
        <m:r>
          <m:rPr>
            <m:sty m:val="p"/>
          </m:rPr>
          <m:t>*</m:t>
        </m:r>
        <m:r>
          <m:rPr>
            <m:sty m:val="p"/>
          </m:rPr>
          <m:t>;</m:t>
        </m:r>
        <m:r>
          <m:t>H</m:t>
        </m:r>
        <m:r>
          <m:t>1</m:t>
        </m:r>
        <m:r>
          <m:t>l</m:t>
        </m:r>
        <m:r>
          <m:t>o</m:t>
        </m:r>
        <m:r>
          <m:t>s</m:t>
        </m:r>
        <m:r>
          <m:t>s</m:t>
        </m:r>
        <m:r>
          <m:t>w</m:t>
        </m:r>
        <m:r>
          <m:t>a</m:t>
        </m:r>
        <m:r>
          <m:t>s</m:t>
        </m:r>
        <m:r>
          <m:rPr>
            <m:sty m:val="p"/>
          </m:rPr>
          <m:t>*</m:t>
        </m:r>
        <m:r>
          <m:rPr>
            <m:sty m:val="p"/>
          </m:rPr>
          <m:t>*</m:t>
        </m:r>
      </m:oMath>
      <w:r>
        <w:rPr>
          <w:b/>
          <w:bCs/>
        </w:rPr>
        <w:t xml:space="preserve">(345)M</w:t>
      </w:r>
      <w:r>
        <w:t xml:space="preserve">; full-year guide is a loss of</w:t>
      </w:r>
      <w:r>
        <w:t xml:space="preserve"> </w:t>
      </w:r>
      <w:r>
        <w:rPr>
          <w:b/>
          <w:bCs/>
        </w:rPr>
        <w:t xml:space="preserve">$(500)M to $(350)M</w:t>
      </w:r>
      <w:r>
        <w:t xml:space="preserve">. The math implies a</w:t>
      </w:r>
      <w:r>
        <w:t xml:space="preserve"> </w:t>
      </w:r>
      <w:r>
        <w:rPr>
          <w:i/>
          <w:iCs/>
        </w:rPr>
        <w:t xml:space="preserve">much smaller</w:t>
      </w:r>
      <w:r>
        <w:t xml:space="preserve"> </w:t>
      </w:r>
      <w:r>
        <w:t xml:space="preserve">2H loss (roughly $(5)M to $(155)M), driven by the completed plant-footprint optimization and higher utilization — a key credibility test this quarter.</w:t>
      </w:r>
    </w:p>
    <w:p>
      <w:pPr>
        <w:pStyle w:val="BodyText"/>
      </w:pPr>
      <w:r>
        <w:t xml:space="preserve">Two crosscurrents to parse on the call:</w:t>
      </w:r>
    </w:p>
    <w:p>
      <w:pPr>
        <w:pStyle w:val="Compact"/>
        <w:numPr>
          <w:ilvl w:val="0"/>
          <w:numId w:val="1003"/>
        </w:numPr>
      </w:pPr>
      <w:r>
        <w:rPr>
          <w:b/>
          <w:bCs/>
        </w:rPr>
        <w:t xml:space="preserve">Cattle cycle:</w:t>
      </w:r>
      <w:r>
        <w:t xml:space="preserve"> </w:t>
      </w:r>
      <w:r>
        <w:t xml:space="preserve">This is a ~75-year-low herd; management expects sub-normal beef margins until supplies rebuild (King has pointed to herd rebuilding not fully benefiting results until ~2028).</w:t>
      </w:r>
    </w:p>
    <w:p>
      <w:pPr>
        <w:pStyle w:val="Compact"/>
        <w:numPr>
          <w:ilvl w:val="0"/>
          <w:numId w:val="1003"/>
        </w:numPr>
      </w:pPr>
      <w:r>
        <w:rPr>
          <w:b/>
          <w:bCs/>
        </w:rPr>
        <w:t xml:space="preserve">The New World Screwworm / Mexico border reopening.</w:t>
      </w:r>
      <w:r>
        <w:t xml:space="preserve"> </w:t>
      </w:r>
      <w:r>
        <w:t xml:space="preserve">The border had been closed to Mexican cattle imports for over a year on screwworm detections. On 7/25, USDA confirmed a</w:t>
      </w:r>
      <w:r>
        <w:t xml:space="preserve"> </w:t>
      </w:r>
      <w:r>
        <w:rPr>
          <w:b/>
          <w:bCs/>
        </w:rPr>
        <w:t xml:space="preserve">phased resumption starting ~Aug 24</w:t>
      </w:r>
      <w:r>
        <w:t xml:space="preserve"> </w:t>
      </w:r>
      <w:r>
        <w:t xml:space="preserve">— the news drove TSN up ~6% on 7/27. Critically, this is</w:t>
      </w:r>
      <w:r>
        <w:t xml:space="preserve"> </w:t>
      </w:r>
      <w:r>
        <w:rPr>
          <w:b/>
          <w:bCs/>
        </w:rPr>
        <w:t xml:space="preserve">too late to help the fiscal Q3 (June-quarter) results</w:t>
      </w:r>
      <w:r>
        <w:t xml:space="preserve"> </w:t>
      </w:r>
      <w:r>
        <w:t xml:space="preserve">and won't meaningfully hit numbers until FY27. Expect a lot of Q&amp;A on what reopening does to live-cattle costs (analysts modeled a mid-single-digit cattle price decline) vs. the offsetting screwworm risk that could choke supply</w:t>
      </w:r>
      <w:r>
        <w:t xml:space="preserve"> </w:t>
      </w:r>
      <w:r>
        <w:rPr>
          <w:i/>
          <w:iCs/>
        </w:rPr>
        <w:t xml:space="preserve">longer</w:t>
      </w:r>
      <w:r>
        <w:t xml:space="preserve">. This is where forward framing matters more than the printed Q3 number.</w:t>
      </w:r>
    </w:p>
    <w:bookmarkEnd w:id="13"/>
    <w:bookmarkStart w:id="14" w:name="X4a40b28893e1601b63a4d0c49063e20c729de4d"/>
    <w:p>
      <w:pPr>
        <w:pStyle w:val="Heading3"/>
      </w:pPr>
      <w:r>
        <w:t xml:space="preserve">3. Prepared Foods — the underappreciated margin/share story</w:t>
      </w:r>
    </w:p>
    <w:p>
      <w:pPr>
        <w:pStyle w:val="FirstParagraph"/>
      </w:pPr>
      <w:r>
        <w:t xml:space="preserve">Prepared Foods has quietly become the margin anchor: Q2 FY26 adj. OI</w:t>
      </w:r>
      <w:r>
        <w:t xml:space="preserve"> </w:t>
      </w:r>
      <m:oMath>
        <m:r>
          <m:t>352</m:t>
        </m:r>
        <m:r>
          <m:t>M</m:t>
        </m:r>
        <m:r>
          <m:t>a</m:t>
        </m:r>
        <m:r>
          <m:t>t</m:t>
        </m:r>
        <m:r>
          <m:t>a</m:t>
        </m:r>
        <m:r>
          <m:t>14.0</m:t>
        </m:r>
      </m:oMath>
      <w:r>
        <w:rPr>
          <w:b/>
          <w:bCs/>
        </w:rPr>
        <w:t xml:space="preserve">1.25–1.35B</w:t>
      </w:r>
      <w:r>
        <w:t xml:space="preserve">. The growth driver to watch is the</w:t>
      </w:r>
      <w:r>
        <w:t xml:space="preserve"> </w:t>
      </w:r>
      <w:r>
        <w:rPr>
          <w:b/>
          <w:bCs/>
        </w:rPr>
        <w:t xml:space="preserve">Jimmy Dean high-protein platform</w:t>
      </w:r>
      <w:r>
        <w:t xml:space="preserve"> </w:t>
      </w:r>
      <w:r>
        <w:t xml:space="preserve">(sandwiches, bowls, waffles) that management says is bringing younger consumers to the brand.</w:t>
      </w:r>
    </w:p>
    <w:p>
      <w:pPr>
        <w:pStyle w:val="Compact"/>
        <w:numPr>
          <w:ilvl w:val="0"/>
          <w:numId w:val="1004"/>
        </w:numPr>
      </w:pPr>
      <w:r>
        <w:rPr>
          <w:b/>
          <w:bCs/>
        </w:rPr>
        <w:t xml:space="preserve">Watch commodity/input costs:</w:t>
      </w:r>
      <w:r>
        <w:t xml:space="preserve"> </w:t>
      </w:r>
      <w:r>
        <w:t xml:space="preserve">Prepared Foods raw-material costs were up ~</w:t>
      </w:r>
      <m:oMath>
        <m:r>
          <m:t>50</m:t>
        </m:r>
        <m:r>
          <m:t>M</m:t>
        </m:r>
        <m:r>
          <m:t>i</m:t>
        </m:r>
        <m:r>
          <m:t>n</m:t>
        </m:r>
        <m:r>
          <m:t>Q</m:t>
        </m:r>
        <m:r>
          <m:t>2</m:t>
        </m:r>
        <m:r>
          <m:rPr>
            <m:sty m:val="p"/>
          </m:rPr>
          <m:t>(</m:t>
        </m:r>
        <m:r>
          <m:t> </m:t>
        </m:r>
      </m:oMath>
      <w:r>
        <w:t xml:space="preserve">150M H1), plus resin/packaging and freight inflation. King flagged grains as a possible modest 2H headwind. Whether pricing continues to catch up to input inflation is the swing factor for the ~14% margin.</w:t>
      </w:r>
    </w:p>
    <w:bookmarkEnd w:id="14"/>
    <w:bookmarkStart w:id="15" w:name="X2b0ee3ee4703050b816007bc21c1d8969efd3ee"/>
    <w:p>
      <w:pPr>
        <w:pStyle w:val="Heading3"/>
      </w:pPr>
      <w:r>
        <w:t xml:space="preserve">4. Pork &amp; International — steady but small</w:t>
      </w:r>
    </w:p>
    <w:p>
      <w:pPr>
        <w:pStyle w:val="Compact"/>
        <w:numPr>
          <w:ilvl w:val="0"/>
          <w:numId w:val="1005"/>
        </w:numPr>
      </w:pPr>
      <w:r>
        <w:rPr>
          <w:b/>
          <w:bCs/>
        </w:rPr>
        <w:t xml:space="preserve">Pork:</w:t>
      </w:r>
      <w:r>
        <w:t xml:space="preserve"> </w:t>
      </w:r>
      <w:r>
        <w:t xml:space="preserve">stable, balanced market; Q2 adj. OI $41M (2.6% margin), full-year guide $250–300M. H1 was</w:t>
      </w:r>
      <w:r>
        <w:t xml:space="preserve"> </w:t>
      </w:r>
      <m:oMath>
        <m:r>
          <m:t>152</m:t>
        </m:r>
        <m:r>
          <m:t>M</m:t>
        </m:r>
        <m:r>
          <m:rPr>
            <m:sty m:val="p"/>
          </m:rPr>
          <m:t>,</m:t>
        </m:r>
        <m:r>
          <m:t>s</m:t>
        </m:r>
        <m:r>
          <m:t>o</m:t>
        </m:r>
        <m:r>
          <m:t>t</m:t>
        </m:r>
        <m:r>
          <m:t>h</m:t>
        </m:r>
        <m:r>
          <m:t>e</m:t>
        </m:r>
        <m:r>
          <m:t>b</m:t>
        </m:r>
        <m:r>
          <m:t>a</m:t>
        </m:r>
        <m:r>
          <m:t>c</m:t>
        </m:r>
        <m:r>
          <m:t>k</m:t>
        </m:r>
        <m:r>
          <m:t>h</m:t>
        </m:r>
        <m:r>
          <m:t>a</m:t>
        </m:r>
        <m:r>
          <m:t>l</m:t>
        </m:r>
        <m:r>
          <m:t>f</m:t>
        </m:r>
        <m:r>
          <m:t>n</m:t>
        </m:r>
        <m:r>
          <m:t>e</m:t>
        </m:r>
        <m:r>
          <m:t>e</m:t>
        </m:r>
        <m:r>
          <m:t>d</m:t>
        </m:r>
        <m:r>
          <m:t>s</m:t>
        </m:r>
        <m:r>
          <m:t> </m:t>
        </m:r>
      </m:oMath>
      <w:r>
        <w:t xml:space="preserve">100–150M — some seasonality plus one-time Q2 cost items (overstaffing/immigration contingency, Lexington relocations, weather) that shouldn't repeat. Watch commentary on light farrowing/herd disease (PEDV) as a FY27 supply watch-item.</w:t>
      </w:r>
    </w:p>
    <w:p>
      <w:pPr>
        <w:pStyle w:val="Compact"/>
        <w:numPr>
          <w:ilvl w:val="0"/>
          <w:numId w:val="1005"/>
        </w:numPr>
      </w:pPr>
      <w:r>
        <w:rPr>
          <w:b/>
          <w:bCs/>
        </w:rPr>
        <w:t xml:space="preserve">International:</w:t>
      </w:r>
      <w:r>
        <w:t xml:space="preserve"> </w:t>
      </w:r>
      <w:r>
        <w:t xml:space="preserve">guide $150–200M; small but consistently profitable.</w:t>
      </w:r>
    </w:p>
    <w:bookmarkEnd w:id="15"/>
    <w:bookmarkStart w:id="16" w:name="X912b73fafea80f085fff70c63f6764d2dfe2716"/>
    <w:p>
      <w:pPr>
        <w:pStyle w:val="Heading3"/>
      </w:pPr>
      <w:r>
        <w:t xml:space="preserve">5. Guidance is the real event</w:t>
      </w:r>
    </w:p>
    <w:p>
      <w:pPr>
        <w:pStyle w:val="FirstParagraph"/>
      </w:pPr>
      <w:r>
        <w:t xml:space="preserve">Tyson raised total-company adjusted OI to</w:t>
      </w:r>
      <w:r>
        <w:t xml:space="preserve"> </w:t>
      </w:r>
      <w:r>
        <w:rPr>
          <w:b/>
          <w:bCs/>
        </w:rPr>
        <w:t xml:space="preserve">$2.2–2.4B</w:t>
      </w:r>
      <w:r>
        <w:t xml:space="preserve"> </w:t>
      </w:r>
      <w:r>
        <w:t xml:space="preserve">at Q2 (up $100M at midpoint). H1 adj. OI was</w:t>
      </w:r>
      <w:r>
        <w:t xml:space="preserve"> </w:t>
      </w:r>
      <m:oMath>
        <m:r>
          <m:t>1</m:t>
        </m:r>
        <m:r>
          <m:rPr>
            <m:sty m:val="p"/>
          </m:rPr>
          <m:t>,</m:t>
        </m:r>
        <m:r>
          <m:t>069</m:t>
        </m:r>
        <m:r>
          <m:t>M</m:t>
        </m:r>
        <m:r>
          <m:rPr>
            <m:sty m:val="p"/>
          </m:rPr>
          <m:t>,</m:t>
        </m:r>
        <m:r>
          <m:t>s</m:t>
        </m:r>
        <m:r>
          <m:t>o</m:t>
        </m:r>
        <m:r>
          <m:t>t</m:t>
        </m:r>
        <m:r>
          <m:t>h</m:t>
        </m:r>
        <m:r>
          <m:t>e</m:t>
        </m:r>
        <m:r>
          <m:t>g</m:t>
        </m:r>
        <m:r>
          <m:t>u</m:t>
        </m:r>
        <m:r>
          <m:t>i</m:t>
        </m:r>
        <m:r>
          <m:t>d</m:t>
        </m:r>
        <m:r>
          <m:t>e</m:t>
        </m:r>
        <m:r>
          <m:t>i</m:t>
        </m:r>
        <m:r>
          <m:t>m</m:t>
        </m:r>
        <m:r>
          <m:t>p</m:t>
        </m:r>
        <m:r>
          <m:t>l</m:t>
        </m:r>
        <m:r>
          <m:t>i</m:t>
        </m:r>
        <m:r>
          <m:t>e</m:t>
        </m:r>
        <m:r>
          <m:t>s</m:t>
        </m:r>
        <m:r>
          <m:t> </m:t>
        </m:r>
      </m:oMath>
      <w:r>
        <w:t xml:space="preserve">1.13B–$1.33B in the back half. Key questions:</w:t>
      </w:r>
    </w:p>
    <w:p>
      <w:pPr>
        <w:pStyle w:val="Compact"/>
        <w:numPr>
          <w:ilvl w:val="0"/>
          <w:numId w:val="1006"/>
        </w:numPr>
      </w:pPr>
      <w:r>
        <w:t xml:space="preserve">Does management</w:t>
      </w:r>
      <w:r>
        <w:t xml:space="preserve"> </w:t>
      </w:r>
      <w:r>
        <w:rPr>
          <w:b/>
          <w:bCs/>
        </w:rPr>
        <w:t xml:space="preserve">raise again</w:t>
      </w:r>
      <w:r>
        <w:t xml:space="preserve"> </w:t>
      </w:r>
      <w:r>
        <w:t xml:space="preserve">on Chicken/Prepared strength, or hold given Beef uncertainty and the fact that estimate revisions have recently drifted</w:t>
      </w:r>
      <w:r>
        <w:t xml:space="preserve"> </w:t>
      </w:r>
      <w:r>
        <w:rPr>
          <w:i/>
          <w:iCs/>
        </w:rPr>
        <w:t xml:space="preserve">down</w:t>
      </w:r>
      <w:r>
        <w:t xml:space="preserve">?</w:t>
      </w:r>
    </w:p>
    <w:p>
      <w:pPr>
        <w:pStyle w:val="Compact"/>
        <w:numPr>
          <w:ilvl w:val="0"/>
          <w:numId w:val="1006"/>
        </w:numPr>
      </w:pPr>
      <w:r>
        <w:t xml:space="preserve">Any early</w:t>
      </w:r>
      <w:r>
        <w:t xml:space="preserve"> </w:t>
      </w:r>
      <w:r>
        <w:rPr>
          <w:b/>
          <w:bCs/>
        </w:rPr>
        <w:t xml:space="preserve">FY27 framing</w:t>
      </w:r>
      <w:r>
        <w:t xml:space="preserve"> </w:t>
      </w:r>
      <w:r>
        <w:t xml:space="preserve">on beef (border reopening + herd rebuild timeline) — arguably the most important forward catalyst.</w:t>
      </w:r>
    </w:p>
    <w:p>
      <w:r>
        <w:pict>
          <v:rect style="width:0;height:1.5pt" o:hralign="center" o:hrstd="t" o:hr="t"/>
        </w:pict>
      </w:r>
    </w:p>
    <w:bookmarkEnd w:id="16"/>
    <w:bookmarkEnd w:id="17"/>
    <w:bookmarkStart w:id="18" w:name="Xda59b8f9479b941465f55e42ea4eb517c2c34b8"/>
    <w:p>
      <w:pPr>
        <w:pStyle w:val="Heading2"/>
      </w:pPr>
      <w:r>
        <w:t xml:space="preserve">Balance sheet &amp; capital return (a quiet positive)</w:t>
      </w:r>
    </w:p>
    <w:p>
      <w:pPr>
        <w:pStyle w:val="Compact"/>
        <w:numPr>
          <w:ilvl w:val="0"/>
          <w:numId w:val="1007"/>
        </w:numPr>
      </w:pPr>
      <w:r>
        <w:t xml:space="preserve">Net leverage</w:t>
      </w:r>
      <w:r>
        <w:t xml:space="preserve"> </w:t>
      </w:r>
      <w:r>
        <w:rPr>
          <w:b/>
          <w:bCs/>
        </w:rPr>
        <w:t xml:space="preserve">2.2x</w:t>
      </w:r>
      <w:r>
        <w:t xml:space="preserve">; liquidity **</w:t>
      </w:r>
      <m:oMath>
        <m:r>
          <m:t>3.7</m:t>
        </m:r>
        <m:r>
          <m:t>B</m:t>
        </m:r>
        <m:r>
          <m:rPr>
            <m:sty m:val="p"/>
          </m:rPr>
          <m:t>*</m:t>
        </m:r>
        <m:r>
          <m:rPr>
            <m:sty m:val="p"/>
          </m:rPr>
          <m:t>*</m:t>
        </m:r>
        <m:r>
          <m:rPr>
            <m:sty m:val="p"/>
          </m:rPr>
          <m:t>;</m:t>
        </m:r>
        <m:r>
          <m:t>g</m:t>
        </m:r>
        <m:r>
          <m:t>r</m:t>
        </m:r>
        <m:r>
          <m:t>o</m:t>
        </m:r>
        <m:r>
          <m:t>s</m:t>
        </m:r>
        <m:r>
          <m:t>s</m:t>
        </m:r>
        <m:r>
          <m:t>d</m:t>
        </m:r>
        <m:r>
          <m:t>e</m:t>
        </m:r>
        <m:r>
          <m:t>b</m:t>
        </m:r>
        <m:r>
          <m:t>t</m:t>
        </m:r>
        <m:r>
          <m:t>c</m:t>
        </m:r>
        <m:r>
          <m:t>u</m:t>
        </m:r>
        <m:r>
          <m:t>t</m:t>
        </m:r>
        <m:r>
          <m:t> </m:t>
        </m:r>
      </m:oMath>
      <w:r>
        <w:t xml:space="preserve">1B over the trailing year.</w:t>
      </w:r>
    </w:p>
    <w:p>
      <w:pPr>
        <w:pStyle w:val="Compact"/>
        <w:numPr>
          <w:ilvl w:val="0"/>
          <w:numId w:val="1007"/>
        </w:numPr>
      </w:pPr>
      <w:r>
        <w:t xml:space="preserve">H1 FCF **</w:t>
      </w:r>
      <m:oMath>
        <m:r>
          <m:t>432</m:t>
        </m:r>
        <m:r>
          <m:t>M</m:t>
        </m:r>
        <m:r>
          <m:rPr>
            <m:sty m:val="p"/>
          </m:rPr>
          <m:t>*</m:t>
        </m:r>
        <m:r>
          <m:rPr>
            <m:sty m:val="p"/>
          </m:rPr>
          <m:t>*</m:t>
        </m:r>
        <m:r>
          <m:rPr>
            <m:sty m:val="p"/>
          </m:rPr>
          <m:t>(</m:t>
        </m:r>
        <m:r>
          <m:t>u</m:t>
        </m:r>
        <m:r>
          <m:t>p</m:t>
        </m:r>
        <m:r>
          <m:t> </m:t>
        </m:r>
      </m:oMath>
      <w:r>
        <w:t xml:space="preserve">50M YoY); full-year FCF guide</w:t>
      </w:r>
      <w:r>
        <w:t xml:space="preserve"> </w:t>
      </w:r>
      <w:r>
        <w:rPr>
          <w:b/>
          <w:bCs/>
        </w:rPr>
        <w:t xml:space="preserve">$1.2–1.8B</w:t>
      </w:r>
      <w:r>
        <w:t xml:space="preserve">.</w:t>
      </w:r>
    </w:p>
    <w:p>
      <w:pPr>
        <w:pStyle w:val="Compact"/>
        <w:numPr>
          <w:ilvl w:val="0"/>
          <w:numId w:val="1007"/>
        </w:numPr>
      </w:pPr>
      <w:r>
        <w:t xml:space="preserve">Returned **</w:t>
      </w:r>
      <m:oMath>
        <m:r>
          <m:t>445</m:t>
        </m:r>
        <m:r>
          <m:t>M</m:t>
        </m:r>
        <m:r>
          <m:rPr>
            <m:sty m:val="p"/>
          </m:rPr>
          <m:t>*</m:t>
        </m:r>
        <m:r>
          <m:rPr>
            <m:sty m:val="p"/>
          </m:rPr>
          <m:t>*</m:t>
        </m:r>
        <m:r>
          <m:t>Y</m:t>
        </m:r>
        <m:r>
          <m:t>T</m:t>
        </m:r>
        <m:r>
          <m:t>D</m:t>
        </m:r>
        <m:r>
          <m:rPr>
            <m:sty m:val="p"/>
          </m:rPr>
          <m:t>(</m:t>
        </m:r>
      </m:oMath>
      <w:r>
        <w:t xml:space="preserve">353M dividends + $92M buybacks); dividend recently raised (Class A $0.51/qtr). The dividend yield is elevated at the depressed share price — a support for the stock.</w:t>
      </w:r>
    </w:p>
    <w:p>
      <w:r>
        <w:pict>
          <v:rect style="width:0;height:1.5pt" o:hralign="center" o:hrstd="t" o:hr="t"/>
        </w:pict>
      </w:r>
    </w:p>
    <w:bookmarkEnd w:id="18"/>
    <w:bookmarkStart w:id="19" w:name="stock-setup--valuation"/>
    <w:p>
      <w:pPr>
        <w:pStyle w:val="Heading2"/>
      </w:pPr>
      <w:r>
        <w:t xml:space="preserve">Stock setup &amp; valuation</w:t>
      </w:r>
    </w:p>
    <w:p>
      <w:pPr>
        <w:pStyle w:val="Compact"/>
        <w:numPr>
          <w:ilvl w:val="0"/>
          <w:numId w:val="1008"/>
        </w:numPr>
      </w:pPr>
      <w:r>
        <w:rPr>
          <w:b/>
          <w:bCs/>
        </w:rPr>
        <w:t xml:space="preserve">Price action:</w:t>
      </w:r>
      <w:r>
        <w:t xml:space="preserve"> </w:t>
      </w:r>
      <w:r>
        <w:t xml:space="preserve">~</w:t>
      </w:r>
      <m:oMath>
        <m:r>
          <m:t>58</m:t>
        </m:r>
        <m:r>
          <m:rPr>
            <m:sty m:val="p"/>
          </m:rPr>
          <m:t>(</m:t>
        </m:r>
        <m:r>
          <m:t>7</m:t>
        </m:r>
        <m:r>
          <m:rPr>
            <m:sty m:val="p"/>
          </m:rPr>
          <m:t>/</m:t>
        </m:r>
        <m:r>
          <m:t>31</m:t>
        </m:r>
        <m:r>
          <m:rPr>
            <m:sty m:val="p"/>
          </m:rPr>
          <m:t>)</m:t>
        </m:r>
        <m:r>
          <m:rPr>
            <m:sty m:val="p"/>
          </m:rPr>
          <m:t>,</m:t>
        </m:r>
        <m:r>
          <m:t>d</m:t>
        </m:r>
        <m:r>
          <m:t>o</m:t>
        </m:r>
        <m:r>
          <m:t>w</m:t>
        </m:r>
        <m:r>
          <m:t>n</m:t>
        </m:r>
        <m:r>
          <m:t>f</m:t>
        </m:r>
        <m:r>
          <m:t>r</m:t>
        </m:r>
        <m:r>
          <m:t>o</m:t>
        </m:r>
        <m:r>
          <m:t>m</m:t>
        </m:r>
        <m:r>
          <m:t>a</m:t>
        </m:r>
        <m:r>
          <m:t>p</m:t>
        </m:r>
        <m:r>
          <m:t>o</m:t>
        </m:r>
        <m:r>
          <m:t>s</m:t>
        </m:r>
        <m:r>
          <m:t>t</m:t>
        </m:r>
        <m:r>
          <m:rPr>
            <m:sty m:val="p"/>
          </m:rPr>
          <m:t>−</m:t>
        </m:r>
        <m:r>
          <m:t>Q</m:t>
        </m:r>
        <m:r>
          <m:t>2</m:t>
        </m:r>
        <m:r>
          <m:t>p</m:t>
        </m:r>
        <m:r>
          <m:t>o</m:t>
        </m:r>
        <m:r>
          <m:t>p</m:t>
        </m:r>
        <m:r>
          <m:t>t</m:t>
        </m:r>
        <m:r>
          <m:t>o</m:t>
        </m:r>
        <m:r>
          <m:t> </m:t>
        </m:r>
      </m:oMath>
      <w:r>
        <w:t xml:space="preserve">68.75 (5/4), through a June trough near ~</w:t>
      </w:r>
      <m:oMath>
        <m:r>
          <m:t>55.5</m:t>
        </m:r>
        <m:r>
          <m:rPr>
            <m:sty m:val="p"/>
          </m:rPr>
          <m:t>,</m:t>
        </m:r>
        <m:r>
          <m:t>t</m:t>
        </m:r>
        <m:r>
          <m:t>h</m:t>
        </m:r>
        <m:r>
          <m:t>e</m:t>
        </m:r>
        <m:r>
          <m:t>n</m:t>
        </m:r>
        <m:r>
          <m:t>a</m:t>
        </m:r>
        <m:r>
          <m:t> </m:t>
        </m:r>
        <m:r>
          <m:t>6</m:t>
        </m:r>
      </m:oMath>
      <w:r>
        <w:t xml:space="preserve">61 on 7/28) before fading again. Essentially flat YTD.</w:t>
      </w:r>
    </w:p>
    <w:p>
      <w:pPr>
        <w:pStyle w:val="Compact"/>
        <w:numPr>
          <w:ilvl w:val="0"/>
          <w:numId w:val="1008"/>
        </w:numPr>
      </w:pPr>
      <w:r>
        <w:rPr>
          <w:b/>
          <w:bCs/>
        </w:rPr>
        <w:t xml:space="preserve">Valuation:</w:t>
      </w:r>
      <w:r>
        <w:t xml:space="preserve"> </w:t>
      </w:r>
      <w:r>
        <w:t xml:space="preserve">forward P/E ~15x, a discount to its own history; management repeatedly argues the sum-of-parts is undervalued (Prepared at ~8x, Chicken at ~7.5x vs. CPG/genetics peers). Beef is ~30% of sales, which is why the market caps the multiple.</w:t>
      </w:r>
    </w:p>
    <w:p>
      <w:pPr>
        <w:pStyle w:val="Compact"/>
        <w:numPr>
          <w:ilvl w:val="0"/>
          <w:numId w:val="1008"/>
        </w:numPr>
      </w:pPr>
      <w:r>
        <w:rPr>
          <w:b/>
          <w:bCs/>
        </w:rPr>
        <w:t xml:space="preserve">Positioning/sentiment:</w:t>
      </w:r>
      <w:r>
        <w:t xml:space="preserve"> </w:t>
      </w:r>
      <w:r>
        <w:t xml:space="preserve">Bernstein's Alexia Howard recently cut her target to $63 (from $72) on tight cattle supply. The setup is "show-me": the two good segments are largely in the price; Beef and forward guidance are the variables.</w:t>
      </w:r>
    </w:p>
    <w:p>
      <w:r>
        <w:pict>
          <v:rect style="width:0;height:1.5pt" o:hralign="center" o:hrstd="t" o:hr="t"/>
        </w:pict>
      </w:r>
    </w:p>
    <w:bookmarkEnd w:id="19"/>
    <w:bookmarkStart w:id="21" w:name="what-would-move-the-stock"/>
    <w:p>
      <w:pPr>
        <w:pStyle w:val="Heading2"/>
      </w:pPr>
      <w:r>
        <w:t xml:space="preserve">What would move the stock</w:t>
      </w:r>
    </w:p>
    <w:p>
      <w:pPr>
        <w:pStyle w:val="FirstParagraph"/>
      </w:pPr>
      <w:r>
        <w:rPr>
          <w:b/>
          <w:bCs/>
        </w:rPr>
        <w:t xml:space="preserve">Bullish triggers</w:t>
      </w:r>
    </w:p>
    <w:p>
      <w:pPr>
        <w:pStyle w:val="Compact"/>
        <w:numPr>
          <w:ilvl w:val="0"/>
          <w:numId w:val="1009"/>
        </w:numPr>
      </w:pPr>
      <w:r>
        <w:t xml:space="preserve">EPS beat led by Chicken + Prepared, with another guidance raise</w:t>
      </w:r>
    </w:p>
    <w:p>
      <w:pPr>
        <w:pStyle w:val="Compact"/>
        <w:numPr>
          <w:ilvl w:val="0"/>
          <w:numId w:val="1009"/>
        </w:numPr>
      </w:pPr>
      <w:r>
        <w:t xml:space="preserve">Beef 2H loss tracking to the</w:t>
      </w:r>
      <w:r>
        <w:t xml:space="preserve"> </w:t>
      </w:r>
      <w:r>
        <w:rPr>
          <w:i/>
          <w:iCs/>
        </w:rPr>
        <w:t xml:space="preserve">better</w:t>
      </w:r>
      <w:r>
        <w:t xml:space="preserve"> </w:t>
      </w:r>
      <w:r>
        <w:t xml:space="preserve">end (validating the footprint self-help)</w:t>
      </w:r>
    </w:p>
    <w:p>
      <w:pPr>
        <w:pStyle w:val="Compact"/>
        <w:numPr>
          <w:ilvl w:val="0"/>
          <w:numId w:val="1009"/>
        </w:numPr>
      </w:pPr>
      <w:r>
        <w:t xml:space="preserve">More quantification of the genetics earnings tailwind into FY27</w:t>
      </w:r>
    </w:p>
    <w:p>
      <w:pPr>
        <w:pStyle w:val="Compact"/>
        <w:numPr>
          <w:ilvl w:val="0"/>
          <w:numId w:val="1009"/>
        </w:numPr>
      </w:pPr>
      <w:r>
        <w:t xml:space="preserve">Constructive FY27 beef framing around border reopening + herd rebuild</w:t>
      </w:r>
    </w:p>
    <w:p>
      <w:pPr>
        <w:pStyle w:val="FirstParagraph"/>
      </w:pPr>
      <w:r>
        <w:rPr>
          <w:b/>
          <w:bCs/>
        </w:rPr>
        <w:t xml:space="preserve">Bearish triggers</w:t>
      </w:r>
    </w:p>
    <w:p>
      <w:pPr>
        <w:pStyle w:val="Compact"/>
        <w:numPr>
          <w:ilvl w:val="0"/>
          <w:numId w:val="1010"/>
        </w:numPr>
      </w:pPr>
      <w:r>
        <w:t xml:space="preserve">Beef loss deepening / cattle spreads worse than the implied 2H improvement</w:t>
      </w:r>
    </w:p>
    <w:p>
      <w:pPr>
        <w:pStyle w:val="Compact"/>
        <w:numPr>
          <w:ilvl w:val="0"/>
          <w:numId w:val="1010"/>
        </w:numPr>
      </w:pPr>
      <w:r>
        <w:t xml:space="preserve">Prepared Foods margin pressure from input/packaging/freight inflation outrunning pricing</w:t>
      </w:r>
    </w:p>
    <w:p>
      <w:pPr>
        <w:pStyle w:val="Compact"/>
        <w:numPr>
          <w:ilvl w:val="0"/>
          <w:numId w:val="1010"/>
        </w:numPr>
      </w:pPr>
      <w:r>
        <w:t xml:space="preserve">Chicken viewed as peaking (commodity normalization, base-price weakness)</w:t>
      </w:r>
    </w:p>
    <w:p>
      <w:pPr>
        <w:pStyle w:val="Compact"/>
        <w:numPr>
          <w:ilvl w:val="0"/>
          <w:numId w:val="1010"/>
        </w:numPr>
      </w:pPr>
      <w:r>
        <w:t xml:space="preserve">Guidance merely reaffirmed while Beef reopening benefit is pushed out — a "good quarter, cautious future" reaction</w:t>
      </w:r>
    </w:p>
    <w:p>
      <w:r>
        <w:pict>
          <v:rect style="width:0;height:1.5pt" o:hralign="center" o:hrstd="t" o:hr="t"/>
        </w:pict>
      </w:r>
    </w:p>
    <w:bookmarkStart w:id="20" w:name="bottom-line"/>
    <w:p>
      <w:pPr>
        <w:pStyle w:val="Heading3"/>
      </w:pPr>
      <w:r>
        <w:t xml:space="preserve">Bottom line</w:t>
      </w:r>
    </w:p>
    <w:p>
      <w:pPr>
        <w:pStyle w:val="FirstParagraph"/>
      </w:pPr>
      <w:r>
        <w:t xml:space="preserve">Expect a</w:t>
      </w:r>
      <w:r>
        <w:t xml:space="preserve"> </w:t>
      </w:r>
      <w:r>
        <w:rPr>
          <w:b/>
          <w:bCs/>
        </w:rPr>
        <w:t xml:space="preserve">solid headline</w:t>
      </w:r>
      <w:r>
        <w:t xml:space="preserve"> </w:t>
      </w:r>
      <w:r>
        <w:t xml:space="preserve">(consensus ~$1.00 vs. $0.91 LY) driven by Chicken and Prepared Foods, with Beef the identifiable drag already known to the market. The number that matters most is</w:t>
      </w:r>
      <w:r>
        <w:t xml:space="preserve"> </w:t>
      </w:r>
      <w:r>
        <w:rPr>
          <w:b/>
          <w:bCs/>
        </w:rPr>
        <w:t xml:space="preserve">Beef's back-half loss trajectory</w:t>
      </w:r>
      <w:r>
        <w:t xml:space="preserve"> </w:t>
      </w:r>
      <w:r>
        <w:t xml:space="preserve">and any</w:t>
      </w:r>
      <w:r>
        <w:t xml:space="preserve"> </w:t>
      </w:r>
      <w:r>
        <w:rPr>
          <w:b/>
          <w:bCs/>
        </w:rPr>
        <w:t xml:space="preserve">guidance revision / FY27 beef framing</w:t>
      </w:r>
      <w:r>
        <w:t xml:space="preserve"> </w:t>
      </w:r>
      <w:r>
        <w:t xml:space="preserve">around the Aug-24 Mexican cattle border reopening — not the Q3 print itself, which the reopening comes too late to affect. Given a flat-YTD stock, ~15x P/E, and neutral-leaning sentiment, the risk/reward hinges on whether management can convince investors the Chicken "genetics + execution" gains are structural and that beef losses have troughed.</w:t>
      </w:r>
    </w:p>
    <w:p>
      <w:pPr>
        <w:pStyle w:val="BodyText"/>
      </w:pPr>
      <w:r>
        <w:rPr>
          <w:i/>
          <w:iCs/>
        </w:rPr>
        <w:t xml:space="preserve">Note: figures above are drawn from Tyson's Q2 FY26 and Q3 FY25 releases/calls and recent news; the FY26 outlook reflects a comparable 52-week basis (FY26 is a 53-week year). Estimates are consensus as reported by third-party previews and may differ from your model.</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2026-08-03T00:04:46Z</dcterms:created>
  <dcterms:modified xsi:type="dcterms:W3CDTF">2026-08-03T00:04:46Z</dcterms:modified>
</cp:coreProperties>
</file>

<file path=docProps/custom.xml><?xml version="1.0" encoding="utf-8"?>
<Properties xmlns="http://schemas.openxmlformats.org/officeDocument/2006/custom-properties" xmlns:vt="http://schemas.openxmlformats.org/officeDocument/2006/docPropsVTypes"/>
</file>