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tsn-earnings-predictions--2026-08-03"/>
    <w:p>
      <w:pPr>
        <w:pStyle w:val="Heading1"/>
      </w:pPr>
      <w:r>
        <w:t xml:space="preserve">TSN Earnings Predictions — 2026-08-03</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TSN</w:t>
            </w:r>
          </w:p>
        </w:tc>
        <w:tc>
          <w:tcPr/>
          <w:p>
            <w:pPr>
              <w:pStyle w:val="Compact"/>
            </w:pPr>
            <w:r>
              <w:t xml:space="preserve">Report</w:t>
            </w:r>
          </w:p>
        </w:tc>
        <w:tc>
          <w:tcPr/>
          <w:p>
            <w:pPr>
              <w:pStyle w:val="Compact"/>
            </w:pPr>
            <w:r>
              <w:t xml:space="preserve">Adjusted EPS (Q3 FY26)</w:t>
            </w:r>
          </w:p>
        </w:tc>
        <w:tc>
          <w:tcPr/>
          <w:p>
            <w:pPr>
              <w:pStyle w:val="Compact"/>
            </w:pPr>
            <w:r>
              <w:t xml:space="preserve">BEAT</w:t>
            </w:r>
          </w:p>
        </w:tc>
        <w:tc>
          <w:tcPr/>
          <w:p>
            <w:pPr>
              <w:pStyle w:val="Compact"/>
            </w:pPr>
            <w:r>
              <w:t xml:space="preserve">pred ~$1.03 vs. cons $1.00</w:t>
            </w:r>
          </w:p>
        </w:tc>
        <w:tc>
          <w:tcPr/>
          <w:p>
            <w:pPr>
              <w:pStyle w:val="Compact"/>
            </w:pPr>
            <w:r>
              <w:t xml:space="preserve">MEDIUM</w:t>
            </w:r>
          </w:p>
        </w:tc>
      </w:tr>
      <w:tr>
        <w:tc>
          <w:tcPr/>
          <w:p>
            <w:pPr>
              <w:pStyle w:val="Compact"/>
            </w:pPr>
            <w:r>
              <w:t xml:space="preserve">TSN</w:t>
            </w:r>
          </w:p>
        </w:tc>
        <w:tc>
          <w:tcPr/>
          <w:p>
            <w:pPr>
              <w:pStyle w:val="Compact"/>
            </w:pPr>
            <w:r>
              <w:t xml:space="preserve">Report</w:t>
            </w:r>
          </w:p>
        </w:tc>
        <w:tc>
          <w:tcPr/>
          <w:p>
            <w:pPr>
              <w:pStyle w:val="Compact"/>
            </w:pPr>
            <w:r>
              <w:t xml:space="preserve">Total Revenue (Q3 FY26)</w:t>
            </w:r>
          </w:p>
        </w:tc>
        <w:tc>
          <w:tcPr/>
          <w:p>
            <w:pPr>
              <w:pStyle w:val="Compact"/>
            </w:pPr>
            <w:r>
              <w:t xml:space="preserve">IN-LINE</w:t>
            </w:r>
          </w:p>
        </w:tc>
        <w:tc>
          <w:tcPr/>
          <w:p>
            <w:pPr>
              <w:pStyle w:val="Compact"/>
            </w:pPr>
            <w:r>
              <w:t xml:space="preserve">pred ~$14.15B vs. cons $14.07B</w:t>
            </w:r>
          </w:p>
        </w:tc>
        <w:tc>
          <w:tcPr/>
          <w:p>
            <w:pPr>
              <w:pStyle w:val="Compact"/>
            </w:pPr>
            <w:r>
              <w:t xml:space="preserve">MEDIUM</w:t>
            </w:r>
          </w:p>
        </w:tc>
      </w:tr>
      <w:tr>
        <w:tc>
          <w:tcPr/>
          <w:p>
            <w:pPr>
              <w:pStyle w:val="Compact"/>
            </w:pPr>
            <w:r>
              <w:t xml:space="preserve">TSN</w:t>
            </w:r>
          </w:p>
        </w:tc>
        <w:tc>
          <w:tcPr/>
          <w:p>
            <w:pPr>
              <w:pStyle w:val="Compact"/>
            </w:pPr>
            <w:r>
              <w:t xml:space="preserve">Report</w:t>
            </w:r>
          </w:p>
        </w:tc>
        <w:tc>
          <w:tcPr/>
          <w:p>
            <w:pPr>
              <w:pStyle w:val="Compact"/>
            </w:pPr>
            <w:r>
              <w:t xml:space="preserve">Chicken Segment Adjusted Operating Income (Q3 FY26)</w:t>
            </w:r>
          </w:p>
        </w:tc>
        <w:tc>
          <w:tcPr/>
          <w:p>
            <w:pPr>
              <w:pStyle w:val="Compact"/>
            </w:pPr>
            <w:r>
              <w:t xml:space="preserve">BEAT</w:t>
            </w:r>
          </w:p>
        </w:tc>
        <w:tc>
          <w:tcPr/>
          <w:p>
            <w:pPr>
              <w:pStyle w:val="Compact"/>
            </w:pPr>
            <w:r>
              <w:t xml:space="preserve">pred ~$515M vs. cons $503M</w:t>
            </w:r>
          </w:p>
        </w:tc>
        <w:tc>
          <w:tcPr/>
          <w:p>
            <w:pPr>
              <w:pStyle w:val="Compact"/>
            </w:pPr>
            <w:r>
              <w:t xml:space="preserve">MEDIUM</w:t>
            </w:r>
          </w:p>
        </w:tc>
      </w:tr>
      <w:tr>
        <w:tc>
          <w:tcPr/>
          <w:p>
            <w:pPr>
              <w:pStyle w:val="Compact"/>
            </w:pPr>
            <w:r>
              <w:t xml:space="preserve">TSN</w:t>
            </w:r>
          </w:p>
        </w:tc>
        <w:tc>
          <w:tcPr/>
          <w:p>
            <w:pPr>
              <w:pStyle w:val="Compact"/>
            </w:pPr>
            <w:r>
              <w:t xml:space="preserve">Guide</w:t>
            </w:r>
          </w:p>
        </w:tc>
        <w:tc>
          <w:tcPr/>
          <w:p>
            <w:pPr>
              <w:pStyle w:val="Compact"/>
            </w:pPr>
            <w:r>
              <w:t xml:space="preserve">FY26 Total Company Adjusted Operating Income guide</w:t>
            </w:r>
          </w:p>
        </w:tc>
        <w:tc>
          <w:tcPr/>
          <w:p>
            <w:pPr>
              <w:pStyle w:val="Compact"/>
            </w:pPr>
            <w:r>
              <w:t xml:space="preserve">BETTER</w:t>
            </w:r>
          </w:p>
        </w:tc>
        <w:tc>
          <w:tcPr/>
          <w:p>
            <w:pPr>
              <w:pStyle w:val="Compact"/>
            </w:pPr>
            <w:r>
              <w:t xml:space="preserve">guide ~$2.35B vs. cons $2.3B (FY2026, current midpoint of</w:t>
            </w:r>
            <w:r>
              <w:t xml:space="preserve"> </w:t>
            </w:r>
            <m:oMath>
              <m:r>
                <m:t>2.2</m:t>
              </m:r>
              <m:r>
                <m:t>B</m:t>
              </m:r>
              <m:r>
                <m:rPr>
                  <m:sty m:val="p"/>
                </m:rPr>
                <m:t>−</m:t>
              </m:r>
            </m:oMath>
            <w:r>
              <w:t xml:space="preserve">2.4B range)</w:t>
            </w:r>
          </w:p>
        </w:tc>
        <w:tc>
          <w:tcPr/>
          <w:p>
            <w:pPr>
              <w:pStyle w:val="Compact"/>
            </w:pPr>
            <w:r>
              <w:t xml:space="preserve">MEDIUM</w:t>
            </w:r>
          </w:p>
        </w:tc>
      </w:tr>
      <w:tr>
        <w:tc>
          <w:tcPr/>
          <w:p>
            <w:pPr>
              <w:pStyle w:val="Compact"/>
            </w:pPr>
            <w:r>
              <w:t xml:space="preserve">TSN</w:t>
            </w:r>
          </w:p>
        </w:tc>
        <w:tc>
          <w:tcPr/>
          <w:p>
            <w:pPr>
              <w:pStyle w:val="Compact"/>
            </w:pPr>
            <w:r>
              <w:t xml:space="preserve">Guide</w:t>
            </w:r>
          </w:p>
        </w:tc>
        <w:tc>
          <w:tcPr/>
          <w:p>
            <w:pPr>
              <w:pStyle w:val="Compact"/>
            </w:pPr>
            <w:r>
              <w:t xml:space="preserve">FY26 Beef Segment Adjusted Operating Loss guide</w:t>
            </w:r>
          </w:p>
        </w:tc>
        <w:tc>
          <w:tcPr/>
          <w:p>
            <w:pPr>
              <w:pStyle w:val="Compact"/>
            </w:pPr>
            <w:r>
              <w:t xml:space="preserve">LOWER</w:t>
            </w:r>
          </w:p>
        </w:tc>
        <w:tc>
          <w:tcPr/>
          <w:p>
            <w:pPr>
              <w:pStyle w:val="Compact"/>
            </w:pPr>
            <w:r>
              <w:t xml:space="preserve">guide ~$(450)M vs. cons $(425)M (FY2026, current midpoint of</w:t>
            </w:r>
            <w:r>
              <w:t xml:space="preserve"> </w:t>
            </w:r>
            <m:oMath>
              <m:r>
                <m:rPr>
                  <m:sty m:val="p"/>
                </m:rPr>
                <m:t>(</m:t>
              </m:r>
              <m:r>
                <m:t>500</m:t>
              </m:r>
              <m:r>
                <m:rPr>
                  <m:sty m:val="p"/>
                </m:rPr>
                <m:t>)</m:t>
              </m:r>
              <m:r>
                <m:t>M</m:t>
              </m:r>
              <m:r>
                <m:rPr>
                  <m:sty m:val="p"/>
                </m:rPr>
                <m:t>−</m:t>
              </m:r>
            </m:oMath>
            <w:r>
              <w:t xml:space="preserve">(350)M range)</w:t>
            </w:r>
          </w:p>
        </w:tc>
        <w:tc>
          <w:tcPr/>
          <w:p>
            <w:pPr>
              <w:pStyle w:val="Compact"/>
            </w:pPr>
            <w:r>
              <w:t xml:space="preserve">MEDIUM</w:t>
            </w:r>
          </w:p>
        </w:tc>
      </w:tr>
      <w:tr>
        <w:tc>
          <w:tcPr/>
          <w:p>
            <w:pPr>
              <w:pStyle w:val="Compact"/>
            </w:pPr>
            <w:r>
              <w:t xml:space="preserve">TSN</w:t>
            </w:r>
          </w:p>
        </w:tc>
        <w:tc>
          <w:tcPr/>
          <w:p>
            <w:pPr>
              <w:pStyle w:val="Compact"/>
            </w:pPr>
            <w:r>
              <w:t xml:space="preserve">Guide</w:t>
            </w:r>
          </w:p>
        </w:tc>
        <w:tc>
          <w:tcPr/>
          <w:p>
            <w:pPr>
              <w:pStyle w:val="Compact"/>
            </w:pPr>
            <w:r>
              <w:t xml:space="preserve">FY26 Chicken Segment Adjusted Operating Income guide</w:t>
            </w:r>
          </w:p>
        </w:tc>
        <w:tc>
          <w:tcPr/>
          <w:p>
            <w:pPr>
              <w:pStyle w:val="Compact"/>
            </w:pPr>
            <w:r>
              <w:t xml:space="preserve">BETTER</w:t>
            </w:r>
          </w:p>
        </w:tc>
        <w:tc>
          <w:tcPr/>
          <w:p>
            <w:pPr>
              <w:pStyle w:val="Compact"/>
            </w:pPr>
            <w:r>
              <w:t xml:space="preserve">guide ~$2.05B vs. cons $1.975B (FY2026, current midpoint of</w:t>
            </w:r>
            <w:r>
              <w:t xml:space="preserve"> </w:t>
            </w:r>
            <m:oMath>
              <m:r>
                <m:t>1.9</m:t>
              </m:r>
              <m:r>
                <m:t>B</m:t>
              </m:r>
              <m:r>
                <m:rPr>
                  <m:sty m:val="p"/>
                </m:rPr>
                <m:t>−</m:t>
              </m:r>
            </m:oMath>
            <w:r>
              <w:t xml:space="preserve">2.05B range)</w:t>
            </w:r>
          </w:p>
        </w:tc>
        <w:tc>
          <w:tcPr/>
          <w:p>
            <w:pPr>
              <w:pStyle w:val="Compact"/>
            </w:pPr>
            <w:r>
              <w:t xml:space="preserve">MEDIUM</w:t>
            </w:r>
          </w:p>
        </w:tc>
      </w:tr>
      <w:tr>
        <w:tc>
          <w:tcPr/>
          <w:p>
            <w:pPr>
              <w:pStyle w:val="Compact"/>
            </w:pPr>
            <w:r>
              <w:t xml:space="preserve">TSN</w:t>
            </w:r>
          </w:p>
        </w:tc>
        <w:tc>
          <w:tcPr/>
          <w:p>
            <w:pPr>
              <w:pStyle w:val="Compact"/>
            </w:pPr>
            <w:r>
              <w:t xml:space="preserve">Guide</w:t>
            </w:r>
          </w:p>
        </w:tc>
        <w:tc>
          <w:tcPr/>
          <w:p>
            <w:pPr>
              <w:pStyle w:val="Compact"/>
            </w:pPr>
            <w:r>
              <w:t xml:space="preserve">FY26 Revenue Growth guide</w:t>
            </w:r>
          </w:p>
        </w:tc>
        <w:tc>
          <w:tcPr/>
          <w:p>
            <w:pPr>
              <w:pStyle w:val="Compact"/>
            </w:pPr>
            <w:r>
              <w:t xml:space="preserve">UNCHANGED</w:t>
            </w:r>
          </w:p>
        </w:tc>
        <w:tc>
          <w:tcPr/>
          <w:p>
            <w:pPr>
              <w:pStyle w:val="Compact"/>
            </w:pPr>
            <w:r>
              <w:t xml:space="preserve">guide ~3% vs. cons 3% (FY2026, current 2%-4% range midpoint)</w:t>
            </w:r>
          </w:p>
        </w:tc>
        <w:tc>
          <w:tcPr/>
          <w:p>
            <w:pPr>
              <w:pStyle w:val="Compact"/>
            </w:pPr>
            <w:r>
              <w:t xml:space="preserve">MEDIUM</w:t>
            </w:r>
          </w:p>
        </w:tc>
      </w:tr>
      <w:tr>
        <w:tc>
          <w:tcPr/>
          <w:p>
            <w:pPr>
              <w:pStyle w:val="Compact"/>
            </w:pPr>
            <w:r>
              <w:t xml:space="preserve">TSN</w:t>
            </w:r>
          </w:p>
        </w:tc>
        <w:tc>
          <w:tcPr/>
          <w:p>
            <w:pPr>
              <w:pStyle w:val="Compact"/>
            </w:pPr>
            <w:r>
              <w:t xml:space="preserve">Return</w:t>
            </w:r>
          </w:p>
        </w:tc>
        <w:tc>
          <w:tcPr/>
          <w:p>
            <w:pPr>
              <w:pStyle w:val="Compact"/>
            </w:pPr>
            <w:r>
              <w:t xml:space="preserve">Day-1 residual (stock − beta × S&amp;P 500)</w:t>
            </w:r>
          </w:p>
        </w:tc>
        <w:tc>
          <w:tcPr/>
          <w:p>
            <w:pPr>
              <w:pStyle w:val="Compact"/>
            </w:pPr>
            <w:r>
              <w:t xml:space="preserve">+2.5%</w:t>
            </w:r>
          </w:p>
        </w:tc>
        <w:tc>
          <w:tcPr/>
          <w:p>
            <w:pPr>
              <w:pStyle w:val="Compact"/>
            </w:pPr>
            <w:r>
              <w:t xml:space="preserve">—</w:t>
            </w:r>
          </w:p>
        </w:tc>
        <w:tc>
          <w:tcPr/>
          <w:p>
            <w:pPr>
              <w:pStyle w:val="Compact"/>
            </w:pPr>
            <w:r>
              <w:t xml:space="preserve">MEDIUM</w:t>
            </w:r>
          </w:p>
        </w:tc>
      </w:tr>
      <w:tr>
        <w:tc>
          <w:tcPr/>
          <w:p>
            <w:pPr>
              <w:pStyle w:val="Compact"/>
            </w:pPr>
            <w:r>
              <w:t xml:space="preserve">TSN</w:t>
            </w:r>
          </w:p>
        </w:tc>
        <w:tc>
          <w:tcPr/>
          <w:p>
            <w:pPr>
              <w:pStyle w:val="Compact"/>
            </w:pPr>
            <w:r>
              <w:t xml:space="preserve">Return</w:t>
            </w:r>
          </w:p>
        </w:tc>
        <w:tc>
          <w:tcPr/>
          <w:p>
            <w:pPr>
              <w:pStyle w:val="Compact"/>
            </w:pPr>
            <w:r>
              <w:t xml:space="preserve">5-day cumulative residual</w:t>
            </w:r>
          </w:p>
        </w:tc>
        <w:tc>
          <w:tcPr/>
          <w:p>
            <w:pPr>
              <w:pStyle w:val="Compact"/>
            </w:pPr>
            <w:r>
              <w:t xml:space="preserve">+1.0% (FADE)</w:t>
            </w:r>
          </w:p>
        </w:tc>
        <w:tc>
          <w:tcPr/>
          <w:p>
            <w:pPr>
              <w:pStyle w:val="Compact"/>
            </w:pPr>
            <w:r>
              <w:t xml:space="preserve">H1 FY26 Beef adjusted loss already totals ~$(345)M against a full-year guide of</w:t>
            </w:r>
            <w:r>
              <w:t xml:space="preserve"> </w:t>
            </w:r>
            <m:oMath>
              <m:r>
                <m:rPr>
                  <m:sty m:val="p"/>
                </m:rPr>
                <m:t>(</m:t>
              </m:r>
              <m:r>
                <m:t>350</m:t>
              </m:r>
              <m:r>
                <m:rPr>
                  <m:sty m:val="p"/>
                </m:rPr>
                <m:t>)</m:t>
              </m:r>
              <m:r>
                <m:t>M</m:t>
              </m:r>
              <m:r>
                <m:rPr>
                  <m:sty m:val="p"/>
                </m:rPr>
                <m:t>−</m:t>
              </m:r>
            </m:oMath>
            <w:r>
              <w:t xml:space="preserve">(500)M, meaning H2 must show a dramatic sequential improvement (~$(80)-155)M combined for Q3+Q4) that likely isn't credible until the just-announced Mexican cattle resumption (07/27) actually flows through supply in Q4/FY27 - so even a Q3 EPS/Chicken beat leaves the implicit Q4 Beef bar elevated and FY27 read-through unresolved. Layer on Pilgrim's Pride's Q2 chicken EBITDA miss (-660bps margin) as a negative peer read-through on chicken pricing, a 30-day consensus EPS cut (from $1.06 to $1.00) still not fully reversed, and a broader market backdrop rotating hard into AI/mega-cap tech (MSFT/AMZN dominating flows) away from defensive staples - all of which argue for an initial relief pop on the beat that partially fades over the week as investors focus on the unresolved Beef trajectory and Donnie King's final call/leadership handoff uncertainty rather than sustaining a durable re-rating.</w:t>
            </w:r>
          </w:p>
        </w:tc>
        <w:tc>
          <w:tcPr/>
          <w:p>
            <w:pPr>
              <w:pStyle w:val="Compact"/>
            </w:pPr>
            <w:r>
              <w:t xml:space="preserve">MEDIUM</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2026-08-03T00:07:10Z</dcterms:created>
  <dcterms:modified xsi:type="dcterms:W3CDTF">2026-08-03T00:07:10Z</dcterms:modified>
</cp:coreProperties>
</file>

<file path=docProps/custom.xml><?xml version="1.0" encoding="utf-8"?>
<Properties xmlns="http://schemas.openxmlformats.org/officeDocument/2006/custom-properties" xmlns:vt="http://schemas.openxmlformats.org/officeDocument/2006/docPropsVTypes"/>
</file>