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c79ee4fd9854baf1a8b543132088611aa2e1e1"/>
    <w:p>
      <w:pPr>
        <w:pStyle w:val="Heading1"/>
      </w:pPr>
      <w:r>
        <w:t xml:space="preserve">Tyson Foods (TSN) — Fiscal Q3 2026 Earnings Preview</w:t>
      </w:r>
    </w:p>
    <w:p>
      <w:pPr>
        <w:pStyle w:val="FirstParagraph"/>
      </w:pPr>
      <w:r>
        <w:rPr>
          <w:b/>
          <w:bCs/>
        </w:rPr>
        <w:t xml:space="preserve">Report Date:</w:t>
      </w:r>
      <w:r>
        <w:t xml:space="preserve"> </w:t>
      </w:r>
      <w:r>
        <w:t xml:space="preserve">Monday, August 3, 2026, before market open |</w:t>
      </w:r>
      <w:r>
        <w:t xml:space="preserve"> </w:t>
      </w:r>
      <w:r>
        <w:rPr>
          <w:b/>
          <w:bCs/>
        </w:rPr>
        <w:t xml:space="preserve">Call:</w:t>
      </w:r>
      <w:r>
        <w:t xml:space="preserve"> </w:t>
      </w:r>
      <w:r>
        <w:t xml:space="preserve">2026Q3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Tyson reports fiscal Q3 2026 results tomorrow morning against a backdrop that is as much about</w:t>
      </w:r>
      <w:r>
        <w:t xml:space="preserve"> </w:t>
      </w:r>
      <w:r>
        <w:rPr>
          <w:b/>
          <w:bCs/>
        </w:rPr>
        <w:t xml:space="preserve">leadership transition</w:t>
      </w:r>
      <w:r>
        <w:t xml:space="preserve"> </w:t>
      </w:r>
      <w:r>
        <w:t xml:space="preserve">as it is about protein fundamentals. The stock has been volatile over the last three months, sliding from roughly $68 in late May to a low near</w:t>
      </w:r>
      <w:r>
        <w:t xml:space="preserve"> </w:t>
      </w:r>
      <m:oMath>
        <m:r>
          <m:t>55</m:t>
        </m:r>
        <m:r>
          <m:t>b</m:t>
        </m:r>
        <m:r>
          <m:t>e</m:t>
        </m:r>
        <m:r>
          <m:t>f</m:t>
        </m:r>
        <m:r>
          <m:t>o</m:t>
        </m:r>
        <m:r>
          <m:t>r</m:t>
        </m:r>
        <m:r>
          <m:t>e</m:t>
        </m:r>
        <m:r>
          <m:t>r</m:t>
        </m:r>
        <m:r>
          <m:t>e</m:t>
        </m:r>
        <m:r>
          <m:t>b</m:t>
        </m:r>
        <m:r>
          <m:t>o</m:t>
        </m:r>
        <m:r>
          <m:t>u</m:t>
        </m:r>
        <m:r>
          <m:t>n</m:t>
        </m:r>
        <m:r>
          <m:t>d</m:t>
        </m:r>
        <m:r>
          <m:t>i</m:t>
        </m:r>
        <m:r>
          <m:t>n</m:t>
        </m:r>
        <m:r>
          <m:t>g</m:t>
        </m:r>
        <m:r>
          <m:t>t</m:t>
        </m:r>
        <m:r>
          <m:t>o</m:t>
        </m:r>
        <m:r>
          <m:t>t</m:t>
        </m:r>
        <m:r>
          <m:t>h</m:t>
        </m:r>
        <m:r>
          <m:t>e</m:t>
        </m:r>
        <m:r>
          <m:t>h</m:t>
        </m:r>
        <m:r>
          <m:t>i</m:t>
        </m:r>
        <m:r>
          <m:t>g</m:t>
        </m:r>
        <m:r>
          <m:t>h</m:t>
        </m:r>
        <m:r>
          <m:rPr>
            <m:sty m:val="p"/>
          </m:rPr>
          <m:t>−</m:t>
        </m:r>
      </m:oMath>
      <w:r>
        <w:t xml:space="preserve">50s/$60 range, driven primarily by a surprise C-suite shakeup rather than fundamentals.</w:t>
      </w:r>
    </w:p>
    <w:p>
      <w:pPr>
        <w:pStyle w:val="BodyText"/>
      </w:pPr>
      <w:r>
        <w:rPr>
          <w:b/>
          <w:bCs/>
        </w:rPr>
        <w:t xml:space="preserve">Consensus:</w:t>
      </w:r>
      <w:r>
        <w:t xml:space="preserve"> </w:t>
      </w:r>
      <w:r>
        <w:t xml:space="preserve">Wall Street is looking for</w:t>
      </w:r>
      <w:r>
        <w:t xml:space="preserve"> </w:t>
      </w:r>
      <w:r>
        <w:rPr>
          <w:b/>
          <w:bCs/>
        </w:rPr>
        <w:t xml:space="preserve">revenue of ~$14.1B</w:t>
      </w:r>
      <w:r>
        <w:t xml:space="preserve"> </w:t>
      </w:r>
      <w:r>
        <w:t xml:space="preserve">(up ~2% y/y) and</w:t>
      </w:r>
      <w:r>
        <w:t xml:space="preserve"> </w:t>
      </w:r>
      <w:r>
        <w:rPr>
          <w:b/>
          <w:bCs/>
        </w:rPr>
        <w:t xml:space="preserve">adjusted EPS around</w:t>
      </w:r>
      <w:r>
        <w:rPr>
          <w:b/>
          <w:bCs/>
        </w:rPr>
        <w:t xml:space="preserve"> </w:t>
      </w:r>
      <m:oMath>
        <m:r>
          <m:t>1.00</m:t>
        </m:r>
        <m:r>
          <m:rPr>
            <m:sty m:val="p"/>
          </m:rPr>
          <m:t>−</m:t>
        </m:r>
      </m:oMath>
      <w:r>
        <w:rPr>
          <w:b/>
          <w:bCs/>
        </w:rPr>
        <w:t xml:space="preserve">1.03</w:t>
      </w:r>
      <w:r>
        <w:t xml:space="preserve"> </w:t>
      </w:r>
      <w:r>
        <w:t xml:space="preserve">(vs.</w:t>
      </w:r>
      <w:r>
        <w:t xml:space="preserve"> </w:t>
      </w:r>
      <m:oMath>
        <m:r>
          <m:t>0.91</m:t>
        </m:r>
        <m:r>
          <m:t>a</m:t>
        </m:r>
        <m:r>
          <m:t>y</m:t>
        </m:r>
        <m:r>
          <m:t>e</m:t>
        </m:r>
        <m:r>
          <m:t>a</m:t>
        </m:r>
        <m:r>
          <m:t>r</m:t>
        </m:r>
        <m:r>
          <m:t>a</m:t>
        </m:r>
        <m:r>
          <m:t>g</m:t>
        </m:r>
        <m:r>
          <m:t>o</m:t>
        </m:r>
        <m:r>
          <m:rPr>
            <m:sty m:val="p"/>
          </m:rPr>
          <m:t>)</m:t>
        </m:r>
        <m:r>
          <m:rPr>
            <m:sty m:val="p"/>
          </m:rPr>
          <m:t>,</m:t>
        </m:r>
        <m:r>
          <m:t>w</m:t>
        </m:r>
        <m:r>
          <m:t>h</m:t>
        </m:r>
        <m:r>
          <m:t>i</m:t>
        </m:r>
        <m:r>
          <m:t>c</m:t>
        </m:r>
        <m:r>
          <m:t>h</m:t>
        </m:r>
        <m:r>
          <m:t>w</m:t>
        </m:r>
        <m:r>
          <m:t>o</m:t>
        </m:r>
        <m:r>
          <m:t>u</m:t>
        </m:r>
        <m:r>
          <m:t>l</m:t>
        </m:r>
        <m:r>
          <m:t>d</m:t>
        </m:r>
        <m:r>
          <m:t>m</m:t>
        </m:r>
        <m:r>
          <m:t>a</m:t>
        </m:r>
        <m:r>
          <m:t>r</m:t>
        </m:r>
        <m:r>
          <m:t>k</m:t>
        </m:r>
        <m:r>
          <m:t>a</m:t>
        </m:r>
        <m:r>
          <m:t>l</m:t>
        </m:r>
        <m:r>
          <m:t>o</m:t>
        </m:r>
        <m:r>
          <m:t>w</m:t>
        </m:r>
        <m:r>
          <m:rPr>
            <m:sty m:val="p"/>
          </m:rPr>
          <m:t>−</m:t>
        </m:r>
        <m:r>
          <m:t>d</m:t>
        </m:r>
        <m:r>
          <m:t>o</m:t>
        </m:r>
        <m:r>
          <m:t>u</m:t>
        </m:r>
        <m:r>
          <m:t>b</m:t>
        </m:r>
        <m:r>
          <m:t>l</m:t>
        </m:r>
        <m:r>
          <m:t>e</m:t>
        </m:r>
        <m:r>
          <m:rPr>
            <m:sty m:val="p"/>
          </m:rPr>
          <m:t>−</m:t>
        </m:r>
        <m:r>
          <m:t>d</m:t>
        </m:r>
        <m:r>
          <m:t>i</m:t>
        </m:r>
        <m:r>
          <m:t>g</m:t>
        </m:r>
        <m:r>
          <m:t>i</m:t>
        </m:r>
        <m:r>
          <m:t>t</m:t>
        </m:r>
        <m:r>
          <m:t>p</m:t>
        </m:r>
        <m:r>
          <m:t>e</m:t>
        </m:r>
        <m:r>
          <m:t>r</m:t>
        </m:r>
        <m:r>
          <m:t>c</m:t>
        </m:r>
        <m:r>
          <m:t>e</m:t>
        </m:r>
        <m:r>
          <m:t>n</m:t>
        </m:r>
        <m:r>
          <m:t>t</m:t>
        </m:r>
        <m:r>
          <m:t>a</m:t>
        </m:r>
        <m:r>
          <m:t>g</m:t>
        </m:r>
        <m:r>
          <m:t>e</m:t>
        </m:r>
        <m:r>
          <m:t>i</m:t>
        </m:r>
        <m:r>
          <m:t>n</m:t>
        </m:r>
        <m:r>
          <m:t>c</m:t>
        </m:r>
        <m:r>
          <m:t>r</m:t>
        </m:r>
        <m:r>
          <m:t>e</m:t>
        </m:r>
        <m:r>
          <m:t>a</m:t>
        </m:r>
        <m:r>
          <m:t>s</m:t>
        </m:r>
        <m:r>
          <m:t>e</m:t>
        </m:r>
        <m:r>
          <m:t>i</m:t>
        </m:r>
        <m:r>
          <m:t>n</m:t>
        </m:r>
        <m:r>
          <m:t>E</m:t>
        </m:r>
        <m:r>
          <m:t>P</m:t>
        </m:r>
        <m:r>
          <m:t>S</m:t>
        </m:r>
        <m:r>
          <m:rPr>
            <m:sty m:val="p"/>
          </m:rPr>
          <m:t>.</m:t>
        </m:r>
        <m:r>
          <m:t>E</m:t>
        </m:r>
        <m:r>
          <m:t>s</m:t>
        </m:r>
        <m:r>
          <m:t>t</m:t>
        </m:r>
        <m:r>
          <m:t>i</m:t>
        </m:r>
        <m:r>
          <m:t>m</m:t>
        </m:r>
        <m:r>
          <m:t>a</m:t>
        </m:r>
        <m:r>
          <m:t>t</m:t>
        </m:r>
        <m:r>
          <m:t>e</m:t>
        </m:r>
        <m:r>
          <m:t>s</m:t>
        </m:r>
        <m:r>
          <m:t>h</m:t>
        </m:r>
        <m:r>
          <m:t>a</m:t>
        </m:r>
        <m:r>
          <m:t>v</m:t>
        </m:r>
        <m:r>
          <m:t>e</m:t>
        </m:r>
        <m:r>
          <m:t>d</m:t>
        </m:r>
        <m:r>
          <m:t>r</m:t>
        </m:r>
        <m:r>
          <m:t>i</m:t>
        </m:r>
        <m:r>
          <m:t>f</m:t>
        </m:r>
        <m:r>
          <m:t>t</m:t>
        </m:r>
        <m:r>
          <m:t>e</m:t>
        </m:r>
        <m:r>
          <m:t>d</m:t>
        </m:r>
        <m:r>
          <m:t>s</m:t>
        </m:r>
        <m:r>
          <m:t>l</m:t>
        </m:r>
        <m:r>
          <m:t>i</m:t>
        </m:r>
        <m:r>
          <m:t>g</m:t>
        </m:r>
        <m:r>
          <m:t>h</m:t>
        </m:r>
        <m:r>
          <m:t>t</m:t>
        </m:r>
        <m:r>
          <m:t>l</m:t>
        </m:r>
        <m:r>
          <m:t>y</m:t>
        </m:r>
        <m:r>
          <m:t>l</m:t>
        </m:r>
        <m:r>
          <m:t>o</m:t>
        </m:r>
        <m:r>
          <m:t>w</m:t>
        </m:r>
        <m:r>
          <m:t>e</m:t>
        </m:r>
        <m:r>
          <m:t>r</m:t>
        </m:r>
        <m:r>
          <m:t>o</m:t>
        </m:r>
        <m:r>
          <m:t>v</m:t>
        </m:r>
        <m:r>
          <m:t>e</m:t>
        </m:r>
        <m:r>
          <m:t>r</m:t>
        </m:r>
        <m:r>
          <m:t>t</m:t>
        </m:r>
        <m:r>
          <m:t>h</m:t>
        </m:r>
        <m:r>
          <m:t>e</m:t>
        </m:r>
        <m:r>
          <m:t>p</m:t>
        </m:r>
        <m:r>
          <m:t>a</m:t>
        </m:r>
        <m:r>
          <m:t>s</m:t>
        </m:r>
        <m:r>
          <m:t>t</m:t>
        </m:r>
        <m:r>
          <m:t>30</m:t>
        </m:r>
        <m:r>
          <m:t>d</m:t>
        </m:r>
        <m:r>
          <m:t>a</m:t>
        </m:r>
        <m:r>
          <m:t>y</m:t>
        </m:r>
        <m:r>
          <m:t>s</m:t>
        </m:r>
        <m:r>
          <m:rPr>
            <m:sty m:val="p"/>
          </m:rPr>
          <m:t>(</m:t>
        </m:r>
        <m:r>
          <m:t>f</m:t>
        </m:r>
        <m:r>
          <m:t>r</m:t>
        </m:r>
        <m:r>
          <m:t>o</m:t>
        </m:r>
        <m:r>
          <m:t>m</m:t>
        </m:r>
        <m:r>
          <m:t> </m:t>
        </m:r>
      </m:oMath>
      <w:r>
        <w:t xml:space="preserve">1.06 to ~$1.00), and the EPS range across analysts spans</w:t>
      </w:r>
      <w:r>
        <w:t xml:space="preserve"> </w:t>
      </w:r>
      <m:oMath>
        <m:r>
          <m:t>0.93</m:t>
        </m:r>
        <m:r>
          <m:rPr>
            <m:sty m:val="p"/>
          </m:rPr>
          <m:t>–</m:t>
        </m:r>
      </m:oMath>
      <w:r>
        <w:t xml:space="preserve">1.05, reflecting some uncertainty around segment mix (particularly Beef and Pork) heading into the quarter.</w:t>
      </w:r>
    </w:p>
    <w:p>
      <w:r>
        <w:pict>
          <v:rect style="width:0;height:1.5pt" o:hralign="center" o:hrstd="t" o:hr="t"/>
        </w:pict>
      </w:r>
    </w:p>
    <w:bookmarkEnd w:id="9"/>
    <w:bookmarkStart w:id="10" w:name="the-big-overhang-management-transition"/>
    <w:p>
      <w:pPr>
        <w:pStyle w:val="Heading2"/>
      </w:pPr>
      <w:r>
        <w:t xml:space="preserve">The Big Overhang: Management Transition</w:t>
      </w:r>
    </w:p>
    <w:p>
      <w:pPr>
        <w:pStyle w:val="FirstParagraph"/>
      </w:pPr>
      <w:r>
        <w:t xml:space="preserve">This is arguably the most important storyline for the quarter, and one investors should expect heavy Q&amp;A focus on:</w:t>
      </w:r>
    </w:p>
    <w:p>
      <w:pPr>
        <w:pStyle w:val="Compact"/>
        <w:numPr>
          <w:ilvl w:val="0"/>
          <w:numId w:val="1001"/>
        </w:numPr>
      </w:pPr>
      <w:r>
        <w:rPr>
          <w:b/>
          <w:bCs/>
        </w:rPr>
        <w:t xml:space="preserve">CEO change:</w:t>
      </w:r>
      <w:r>
        <w:t xml:space="preserve"> </w:t>
      </w:r>
      <w:r>
        <w:t xml:space="preserve">On May 28, 2026, Tyson announced that</w:t>
      </w:r>
      <w:r>
        <w:t xml:space="preserve"> </w:t>
      </w:r>
      <w:r>
        <w:rPr>
          <w:b/>
          <w:bCs/>
        </w:rPr>
        <w:t xml:space="preserve">Jeff Schomburger</w:t>
      </w:r>
      <w:r>
        <w:t xml:space="preserve"> </w:t>
      </w:r>
      <w:r>
        <w:t xml:space="preserve">— a board member since 2016 and former P&amp;G Global Sales Officer — will succeed</w:t>
      </w:r>
      <w:r>
        <w:t xml:space="preserve"> </w:t>
      </w:r>
      <w:r>
        <w:rPr>
          <w:b/>
          <w:bCs/>
        </w:rPr>
        <w:t xml:space="preserve">Donnie King</w:t>
      </w:r>
      <w:r>
        <w:t xml:space="preserve"> </w:t>
      </w:r>
      <w:r>
        <w:t xml:space="preserve">as President &amp; CEO effective October 4, 2026, following a transition period beginning in July. King, who had a 43-year career at Tyson and was brought back from retirement in 2021 to stabilize the company, will remain on the board.</w:t>
      </w:r>
    </w:p>
    <w:p>
      <w:pPr>
        <w:pStyle w:val="Compact"/>
        <w:numPr>
          <w:ilvl w:val="0"/>
          <w:numId w:val="1001"/>
        </w:numPr>
      </w:pPr>
      <w:r>
        <w:rPr>
          <w:b/>
          <w:bCs/>
        </w:rPr>
        <w:t xml:space="preserve">COO change:</w:t>
      </w:r>
      <w:r>
        <w:t xml:space="preserve"> </w:t>
      </w:r>
      <w:r>
        <w:t xml:space="preserve">Just days later, Tyson also swapped its COO —</w:t>
      </w:r>
      <w:r>
        <w:t xml:space="preserve"> </w:t>
      </w:r>
      <w:r>
        <w:rPr>
          <w:b/>
          <w:bCs/>
        </w:rPr>
        <w:t xml:space="preserve">Wes Morris</w:t>
      </w:r>
      <w:r>
        <w:t xml:space="preserve">, a 20+ year Tyson veteran who previously ran the Poultry and Prepared Foods businesses, came out of retirement to replace</w:t>
      </w:r>
      <w:r>
        <w:t xml:space="preserve"> </w:t>
      </w:r>
      <w:r>
        <w:rPr>
          <w:b/>
          <w:bCs/>
        </w:rPr>
        <w:t xml:space="preserve">Devin Cole</w:t>
      </w:r>
      <w:r>
        <w:t xml:space="preserve"> </w:t>
      </w:r>
      <w:r>
        <w:t xml:space="preserve">(who had only been in the COO seat since September 2025) effective June 15, 2026.</w:t>
      </w:r>
    </w:p>
    <w:p>
      <w:pPr>
        <w:pStyle w:val="Compact"/>
        <w:numPr>
          <w:ilvl w:val="0"/>
          <w:numId w:val="1001"/>
        </w:numPr>
      </w:pPr>
      <w:r>
        <w:rPr>
          <w:b/>
          <w:bCs/>
        </w:rPr>
        <w:t xml:space="preserve">Market reaction:</w:t>
      </w:r>
      <w:r>
        <w:t xml:space="preserve"> </w:t>
      </w:r>
      <w:r>
        <w:t xml:space="preserve">The King retirement news triggered a sharp selloff — shares fell roughly 23% over the following three weeks from ~</w:t>
      </w:r>
      <m:oMath>
        <m:r>
          <m:t>68.50</m:t>
        </m:r>
        <m:r>
          <m:t>t</m:t>
        </m:r>
        <m:r>
          <m:t>o</m:t>
        </m:r>
        <m:r>
          <m:t> </m:t>
        </m:r>
      </m:oMath>
      <w:r>
        <w:t xml:space="preserve">55.50 — before partially recovering to the $60 area after Morris's appointment was seen as a stabilizing, insider-led operational hire.</w:t>
      </w:r>
    </w:p>
    <w:p>
      <w:pPr>
        <w:pStyle w:val="FirstParagraph"/>
      </w:pPr>
      <w:r>
        <w:t xml:space="preserve">This will be</w:t>
      </w:r>
      <w:r>
        <w:t xml:space="preserve"> </w:t>
      </w:r>
      <w:r>
        <w:rPr>
          <w:b/>
          <w:bCs/>
        </w:rPr>
        <w:t xml:space="preserve">Donnie King's last earnings call as active CEO</w:t>
      </w:r>
      <w:r>
        <w:t xml:space="preserve"> </w:t>
      </w:r>
      <w:r>
        <w:t xml:space="preserve">before the formal handoff in October, and the first call with Wes Morris as COO. Investors should listen closely for: (1) continuity language on strategy (segment operating income framework, capital allocation, network optimization), (2) any early commentary from Schomburger, and (3) whether the transition introduces any near-term execution risk or simply reinforces the existing playbook, given management reaffirmed FY26 guidance at the time of the CEO announcement.</w:t>
      </w:r>
    </w:p>
    <w:p>
      <w:r>
        <w:pict>
          <v:rect style="width:0;height:1.5pt" o:hralign="center" o:hrstd="t" o:hr="t"/>
        </w:pict>
      </w:r>
    </w:p>
    <w:bookmarkEnd w:id="10"/>
    <w:bookmarkStart w:id="16" w:name="segment-by-segment-setup"/>
    <w:p>
      <w:pPr>
        <w:pStyle w:val="Heading2"/>
      </w:pPr>
      <w:r>
        <w:t xml:space="preserve">Segment-by-Segment Setup</w:t>
      </w:r>
    </w:p>
    <w:bookmarkStart w:id="11" w:name="X9da69c0d3efa08be5f830425f5318daa1294c56"/>
    <w:p>
      <w:pPr>
        <w:pStyle w:val="Heading3"/>
      </w:pPr>
      <w:r>
        <w:t xml:space="preserve">Chicken — The Standout, Watch For Sustainability</w:t>
      </w:r>
    </w:p>
    <w:p>
      <w:pPr>
        <w:pStyle w:val="FirstParagraph"/>
      </w:pPr>
      <w:r>
        <w:t xml:space="preserve">Chicken has been the star of the FY26 story. In Q2, the segment delivered</w:t>
      </w:r>
      <w:r>
        <w:t xml:space="preserve"> </w:t>
      </w:r>
      <w:r>
        <w:rPr>
          <w:b/>
          <w:bCs/>
        </w:rPr>
        <w:t xml:space="preserve">$523M in segment operating income at a 12.2% margin</w:t>
      </w:r>
      <w:r>
        <w:t xml:space="preserve">, and management raised full-year Chicken guidance by</w:t>
      </w:r>
      <w:r>
        <w:t xml:space="preserve"> </w:t>
      </w:r>
      <m:oMath>
        <m:r>
          <m:t>200</m:t>
        </m:r>
        <m:r>
          <m:t>M</m:t>
        </m:r>
        <m:r>
          <m:t>a</m:t>
        </m:r>
        <m:r>
          <m:t>t</m:t>
        </m:r>
        <m:r>
          <m:t>t</m:t>
        </m:r>
        <m:r>
          <m:t>h</m:t>
        </m:r>
        <m:r>
          <m:t>e</m:t>
        </m:r>
        <m:r>
          <m:t>m</m:t>
        </m:r>
        <m:r>
          <m:t>i</m:t>
        </m:r>
        <m:r>
          <m:t>d</m:t>
        </m:r>
        <m:r>
          <m:t>p</m:t>
        </m:r>
        <m:r>
          <m:t>o</m:t>
        </m:r>
        <m:r>
          <m:t>i</m:t>
        </m:r>
        <m:r>
          <m:t>n</m:t>
        </m:r>
        <m:r>
          <m:t>t</m:t>
        </m:r>
        <m:r>
          <m:t>t</m:t>
        </m:r>
        <m:r>
          <m:t>o</m:t>
        </m:r>
        <m:r>
          <m:rPr>
            <m:sty m:val="p"/>
          </m:rPr>
          <m:t>*</m:t>
        </m:r>
        <m:r>
          <m:rPr>
            <m:sty m:val="p"/>
          </m:rPr>
          <m:t>*</m:t>
        </m:r>
      </m:oMath>
      <w:r>
        <w:t xml:space="preserve">1.9B–$2.05B**. Management framed the beat as structural rather than commodity-driven — split roughly equally between commercial mix/customer partnerships, the</w:t>
      </w:r>
      <w:r>
        <w:t xml:space="preserve"> </w:t>
      </w:r>
      <w:r>
        <w:rPr>
          <w:b/>
          <w:bCs/>
        </w:rPr>
        <w:t xml:space="preserve">chicken genetics business</w:t>
      </w:r>
      <w:r>
        <w:t xml:space="preserve"> </w:t>
      </w:r>
      <w:r>
        <w:t xml:space="preserve">(now flowing through at scale after years of underinvestment in large-bird genetics), and operational execution — and explicitly guided that the</w:t>
      </w:r>
      <w:r>
        <w:t xml:space="preserve"> </w:t>
      </w:r>
      <w:r>
        <w:rPr>
          <w:b/>
          <w:bCs/>
        </w:rPr>
        <w:t xml:space="preserve">back half should look as good as or better than the first half</w:t>
      </w:r>
      <w:r>
        <w:t xml:space="preserve">. Consensus modeling (per Stephens Inc.) expects Q3 chicken sales near $4.28B (+1.5% y/y) and segment operating income around $503M (+12.3% y/y) with margin near 12%. Any signs of deceleration, or commentary on commodity/feed cost reversal, would be a key swing factor.</w:t>
      </w:r>
    </w:p>
    <w:bookmarkEnd w:id="11"/>
    <w:bookmarkStart w:id="12" w:name="prepared-foods--share-gains-continuing"/>
    <w:p>
      <w:pPr>
        <w:pStyle w:val="Heading3"/>
      </w:pPr>
      <w:r>
        <w:t xml:space="preserve">Prepared Foods — Share Gains Continuing</w:t>
      </w:r>
    </w:p>
    <w:p>
      <w:pPr>
        <w:pStyle w:val="FirstParagraph"/>
      </w:pPr>
      <w:r>
        <w:t xml:space="preserve">Prepared Foods grew sales 4.8% and expanded margin to 14% in Q2, with volume/dollar/unit share gains across bacon, lunch meat, dinner sausage and snacking, aided by the Jimmy Dean high-protein platform launch. FY guidance remains</w:t>
      </w:r>
      <w:r>
        <w:t xml:space="preserve"> </w:t>
      </w:r>
      <m:oMath>
        <m:r>
          <m:t>1.25</m:t>
        </m:r>
        <m:r>
          <m:t>B</m:t>
        </m:r>
        <m:r>
          <m:rPr>
            <m:sty m:val="p"/>
          </m:rPr>
          <m:t>–</m:t>
        </m:r>
      </m:oMath>
      <w:r>
        <w:rPr>
          <w:b/>
          <w:bCs/>
        </w:rPr>
        <w:t xml:space="preserve">1.35B</w:t>
      </w:r>
      <w:r>
        <w:t xml:space="preserve">. Watch for commentary on packaging/resin and raw-material inflation (management flagged rising commodity costs of $50M in Q2 and $150M year-to-date) and whether pricing/promotional efficiency continues to offset it.</w:t>
      </w:r>
    </w:p>
    <w:bookmarkEnd w:id="12"/>
    <w:bookmarkStart w:id="13" w:name="X14a20e1cf87e2f131b5c86367a88eadddc877ad"/>
    <w:p>
      <w:pPr>
        <w:pStyle w:val="Heading3"/>
      </w:pPr>
      <w:r>
        <w:t xml:space="preserve">Beef — The Key Swing Factor, Now With a Fresh Catalyst</w:t>
      </w:r>
    </w:p>
    <w:p>
      <w:pPr>
        <w:pStyle w:val="FirstParagraph"/>
      </w:pPr>
      <w:r>
        <w:t xml:space="preserve">Beef remains the drag, guided to a</w:t>
      </w:r>
      <w:r>
        <w:t xml:space="preserve"> </w:t>
      </w:r>
      <w:r>
        <w:rPr>
          <w:b/>
          <w:bCs/>
        </w:rPr>
        <w:t xml:space="preserve">loss of $(500)M to $(350)M</w:t>
      </w:r>
      <w:r>
        <w:t xml:space="preserve"> </w:t>
      </w:r>
      <w:r>
        <w:t xml:space="preserve">for FY26 amid the worst cattle cycle in ~75 years, with the network-optimization plant closures expected to show increasing benefit in the back half. The most important new development since the Q2 call: on July 27, 2026, the</w:t>
      </w:r>
      <w:r>
        <w:t xml:space="preserve"> </w:t>
      </w:r>
      <w:r>
        <w:rPr>
          <w:b/>
          <w:bCs/>
        </w:rPr>
        <w:t xml:space="preserve">USDA announced the resumption of cattle shipments from Mexico</w:t>
      </w:r>
      <w:r>
        <w:t xml:space="preserve"> </w:t>
      </w:r>
      <w:r>
        <w:t xml:space="preserve">(after over a year of border restrictions), and TSN shares jumped as much as 5.6%–6.9% on the news as it eases the domestic cattle shortage that has driven input costs higher. This is a potential incremental tailwind for Beef sentiment and FY27 setup, though the ~30-day implementation timeline means it likely has limited direct impact on the Q3 print itself — expect this to be a major topic on the call regarding the pace and magnitude of relief.</w:t>
      </w:r>
    </w:p>
    <w:bookmarkEnd w:id="13"/>
    <w:bookmarkStart w:id="14" w:name="X71db5573e3e8cb511e1ed20c32ed772695d87c0"/>
    <w:p>
      <w:pPr>
        <w:pStyle w:val="Heading3"/>
      </w:pPr>
      <w:r>
        <w:t xml:space="preserve">Pork — Stable, But Watch Hog Supply Chatter</w:t>
      </w:r>
    </w:p>
    <w:p>
      <w:pPr>
        <w:pStyle w:val="FirstParagraph"/>
      </w:pPr>
      <w:r>
        <w:t xml:space="preserve">Pork guidance was reaffirmed at</w:t>
      </w:r>
      <w:r>
        <w:t xml:space="preserve"> </w:t>
      </w:r>
      <m:oMath>
        <m:r>
          <m:t>250</m:t>
        </m:r>
        <m:r>
          <m:t>M</m:t>
        </m:r>
        <m:r>
          <m:rPr>
            <m:sty m:val="p"/>
          </m:rPr>
          <m:t>–</m:t>
        </m:r>
      </m:oMath>
      <w:r>
        <w:rPr>
          <w:b/>
          <w:bCs/>
        </w:rPr>
        <w:t xml:space="preserve">300M</w:t>
      </w:r>
      <w:r>
        <w:t xml:space="preserve">, supported by balanced hog supply and pork's relative value advantage versus beef. Management flagged some one-off cost items in Q2 (contingency staffing, relocations, weather) that shouldn't recur, but also noted rising industry disease reports (PEDV) and light farrowing intentions as a "watch item" rather than a red flag for the back half.</w:t>
      </w:r>
    </w:p>
    <w:bookmarkEnd w:id="14"/>
    <w:bookmarkStart w:id="15" w:name="international--smallest-modestly-softer"/>
    <w:p>
      <w:pPr>
        <w:pStyle w:val="Heading3"/>
      </w:pPr>
      <w:r>
        <w:t xml:space="preserve">International — Smallest, Modestly Softer</w:t>
      </w:r>
    </w:p>
    <w:p>
      <w:pPr>
        <w:pStyle w:val="FirstParagraph"/>
      </w:pPr>
      <w:r>
        <w:t xml:space="preserve">International segment operating income guidance stands at</w:t>
      </w:r>
      <w:r>
        <w:t xml:space="preserve"> </w:t>
      </w:r>
      <m:oMath>
        <m:r>
          <m:t>150</m:t>
        </m:r>
        <m:r>
          <m:t>M</m:t>
        </m:r>
        <m:r>
          <m:rPr>
            <m:sty m:val="p"/>
          </m:rPr>
          <m:t>–</m:t>
        </m:r>
      </m:oMath>
      <w:r>
        <w:rPr>
          <w:b/>
          <w:bCs/>
        </w:rPr>
        <w:t xml:space="preserve">200M</w:t>
      </w:r>
      <w:r>
        <w:t xml:space="preserve">; margins compressed slightly (6.6% in Q2) as higher input costs offset operational improvement.</w:t>
      </w:r>
    </w:p>
    <w:p>
      <w:r>
        <w:pict>
          <v:rect style="width:0;height:1.5pt" o:hralign="center" o:hrstd="t" o:hr="t"/>
        </w:pict>
      </w:r>
    </w:p>
    <w:bookmarkEnd w:id="15"/>
    <w:bookmarkEnd w:id="16"/>
    <w:bookmarkStart w:id="17" w:name="financial--capital-allocation-backdrop"/>
    <w:p>
      <w:pPr>
        <w:pStyle w:val="Heading2"/>
      </w:pPr>
      <w:r>
        <w:t xml:space="preserve">Financial &amp; Capital Allocation Backdrop</w:t>
      </w:r>
    </w:p>
    <w:p>
      <w:pPr>
        <w:pStyle w:val="Compact"/>
        <w:numPr>
          <w:ilvl w:val="0"/>
          <w:numId w:val="1002"/>
        </w:numPr>
      </w:pPr>
      <w:r>
        <w:rPr>
          <w:b/>
          <w:bCs/>
        </w:rPr>
        <w:t xml:space="preserve">FY26 guidance (reaffirmed/raised at Q2):</w:t>
      </w:r>
      <w:r>
        <w:t xml:space="preserve"> </w:t>
      </w:r>
      <w:r>
        <w:t xml:space="preserve">Sales up 2%–4% y/y (implying a</w:t>
      </w:r>
      <w:r>
        <w:t xml:space="preserve"> </w:t>
      </w:r>
      <m:oMath>
        <m:r>
          <m:t>55.5</m:t>
        </m:r>
        <m:r>
          <m:t>B</m:t>
        </m:r>
        <m:r>
          <m:rPr>
            <m:sty m:val="p"/>
          </m:rPr>
          <m:t>–</m:t>
        </m:r>
      </m:oMath>
      <w:r>
        <w:t xml:space="preserve">56.6B range); total company adjusted operating income raised to</w:t>
      </w:r>
      <w:r>
        <w:t xml:space="preserve"> </w:t>
      </w:r>
      <m:oMath>
        <m:r>
          <m:t>2.2</m:t>
        </m:r>
        <m:r>
          <m:t>B</m:t>
        </m:r>
        <m:r>
          <m:rPr>
            <m:sty m:val="p"/>
          </m:rPr>
          <m:t>–</m:t>
        </m:r>
      </m:oMath>
      <w:r>
        <w:rPr>
          <w:b/>
          <w:bCs/>
        </w:rPr>
        <w:t xml:space="preserve">2.4B</w:t>
      </w:r>
      <w:r>
        <w:t xml:space="preserve">; net interest expense ~$365M; tax rate ~25%; capex</w:t>
      </w:r>
      <w:r>
        <w:t xml:space="preserve"> </w:t>
      </w:r>
      <m:oMath>
        <m:r>
          <m:t>700</m:t>
        </m:r>
        <m:r>
          <m:t>M</m:t>
        </m:r>
        <m:r>
          <m:rPr>
            <m:sty m:val="p"/>
          </m:rPr>
          <m:t>–</m:t>
        </m:r>
      </m:oMath>
      <w:r>
        <w:t xml:space="preserve">1.0B; free cash flow raised to</w:t>
      </w:r>
      <w:r>
        <w:t xml:space="preserve"> </w:t>
      </w:r>
      <m:oMath>
        <m:r>
          <m:t>1.2</m:t>
        </m:r>
        <m:r>
          <m:t>B</m:t>
        </m:r>
        <m:r>
          <m:rPr>
            <m:sty m:val="p"/>
          </m:rPr>
          <m:t>–</m:t>
        </m:r>
      </m:oMath>
      <w:r>
        <w:rPr>
          <w:b/>
          <w:bCs/>
        </w:rPr>
        <w:t xml:space="preserve">1.8B</w:t>
      </w:r>
      <w:r>
        <w:t xml:space="preserve">.</w:t>
      </w:r>
    </w:p>
    <w:p>
      <w:pPr>
        <w:pStyle w:val="Compact"/>
        <w:numPr>
          <w:ilvl w:val="0"/>
          <w:numId w:val="1002"/>
        </w:numPr>
      </w:pPr>
      <w:r>
        <w:rPr>
          <w:b/>
          <w:bCs/>
        </w:rPr>
        <w:t xml:space="preserve">Balance sheet:</w:t>
      </w:r>
      <w:r>
        <w:t xml:space="preserve"> </w:t>
      </w:r>
      <w:r>
        <w:t xml:space="preserve">Net leverage stood at</w:t>
      </w:r>
      <w:r>
        <w:t xml:space="preserve"> </w:t>
      </w:r>
      <w:r>
        <w:rPr>
          <w:b/>
          <w:bCs/>
        </w:rPr>
        <w:t xml:space="preserve">2.2x</w:t>
      </w:r>
      <w:r>
        <w:t xml:space="preserve"> </w:t>
      </w:r>
      <w:r>
        <w:t xml:space="preserve">as of Q2, with gross debt down nearly $1B over the trailing twelve months and $3.7B of liquidity. Year-to-date the company returned $445M to shareholders (dividends of $353M plus $92M of buybacks).</w:t>
      </w:r>
    </w:p>
    <w:p>
      <w:pPr>
        <w:pStyle w:val="Compact"/>
        <w:numPr>
          <w:ilvl w:val="0"/>
          <w:numId w:val="1002"/>
        </w:numPr>
      </w:pPr>
      <w:r>
        <w:rPr>
          <w:b/>
          <w:bCs/>
        </w:rPr>
        <w:t xml:space="preserve">Valuation:</w:t>
      </w:r>
      <w:r>
        <w:t xml:space="preserve"> </w:t>
      </w:r>
      <w:r>
        <w:t xml:space="preserve">Management has repeatedly argued TSN trades at a discount to packaged-food/protein peers (citing Prepared Foods trading near 8x versus CPG peers, and the embedded chicken-genetics asset — which could be worth "</w:t>
      </w:r>
      <m:oMath>
        <m:r>
          <m:t>9</m:t>
        </m:r>
        <m:r>
          <m:rPr>
            <m:sty m:val="p"/>
          </m:rPr>
          <m:t>–</m:t>
        </m:r>
      </m:oMath>
      <w:r>
        <w:t xml:space="preserve">10 a share" on its own using peer genetics multiples of 20–25x). This valuation-gap narrative is likely to resurface on the call, especially with the stock underperforming the broader market over the past year.</w:t>
      </w:r>
    </w:p>
    <w:p>
      <w:r>
        <w:pict>
          <v:rect style="width:0;height:1.5pt" o:hralign="center" o:hrstd="t" o:hr="t"/>
        </w:pict>
      </w:r>
    </w:p>
    <w:bookmarkEnd w:id="17"/>
    <w:bookmarkStart w:id="18" w:name="what-to-watch-on-the-call"/>
    <w:p>
      <w:pPr>
        <w:pStyle w:val="Heading2"/>
      </w:pPr>
      <w:r>
        <w:t xml:space="preserve">What To Watch On The Call</w:t>
      </w:r>
    </w:p>
    <w:p>
      <w:pPr>
        <w:pStyle w:val="Compact"/>
        <w:numPr>
          <w:ilvl w:val="0"/>
          <w:numId w:val="1003"/>
        </w:numPr>
      </w:pPr>
      <w:r>
        <w:rPr>
          <w:b/>
          <w:bCs/>
        </w:rPr>
        <w:t xml:space="preserve">Leadership transition tone</w:t>
      </w:r>
      <w:r>
        <w:t xml:space="preserve"> </w:t>
      </w:r>
      <w:r>
        <w:t xml:space="preserve">— Donnie King's final quarter as CEO; any early framing from Schomburger/Morris on strategic continuity vs. change.</w:t>
      </w:r>
    </w:p>
    <w:p>
      <w:pPr>
        <w:pStyle w:val="Compact"/>
        <w:numPr>
          <w:ilvl w:val="0"/>
          <w:numId w:val="1003"/>
        </w:numPr>
      </w:pPr>
      <w:r>
        <w:rPr>
          <w:b/>
          <w:bCs/>
        </w:rPr>
        <w:t xml:space="preserve">Chicken durability</w:t>
      </w:r>
      <w:r>
        <w:t xml:space="preserve"> </w:t>
      </w:r>
      <w:r>
        <w:t xml:space="preserve">— is the genetics/mix tailwind structural, and does full-year guidance trend toward the upper end of the raised</w:t>
      </w:r>
      <w:r>
        <w:t xml:space="preserve"> </w:t>
      </w:r>
      <m:oMath>
        <m:r>
          <m:t>1.9</m:t>
        </m:r>
        <m:r>
          <m:t>B</m:t>
        </m:r>
        <m:r>
          <m:rPr>
            <m:sty m:val="p"/>
          </m:rPr>
          <m:t>–</m:t>
        </m:r>
      </m:oMath>
      <w:r>
        <w:t xml:space="preserve">2.05B range?</w:t>
      </w:r>
    </w:p>
    <w:p>
      <w:pPr>
        <w:pStyle w:val="Compact"/>
        <w:numPr>
          <w:ilvl w:val="0"/>
          <w:numId w:val="1003"/>
        </w:numPr>
      </w:pPr>
      <w:r>
        <w:rPr>
          <w:b/>
          <w:bCs/>
        </w:rPr>
        <w:t xml:space="preserve">Beef trajectory and Mexican cattle resumption</w:t>
      </w:r>
      <w:r>
        <w:t xml:space="preserve"> </w:t>
      </w:r>
      <w:r>
        <w:t xml:space="preserve">— timing/magnitude of relief to input costs and whether it shifts the FY loss guidance range.</w:t>
      </w:r>
    </w:p>
    <w:p>
      <w:pPr>
        <w:pStyle w:val="Compact"/>
        <w:numPr>
          <w:ilvl w:val="0"/>
          <w:numId w:val="1003"/>
        </w:numPr>
      </w:pPr>
      <w:r>
        <w:rPr>
          <w:b/>
          <w:bCs/>
        </w:rPr>
        <w:t xml:space="preserve">Prepared Foods inflation offset</w:t>
      </w:r>
      <w:r>
        <w:t xml:space="preserve"> </w:t>
      </w:r>
      <w:r>
        <w:t xml:space="preserve">— packaging/resin and raw material cost trends versus pricing and promotional efficiency.</w:t>
      </w:r>
    </w:p>
    <w:p>
      <w:pPr>
        <w:pStyle w:val="Compact"/>
        <w:numPr>
          <w:ilvl w:val="0"/>
          <w:numId w:val="1003"/>
        </w:numPr>
      </w:pPr>
      <w:r>
        <w:rPr>
          <w:b/>
          <w:bCs/>
        </w:rPr>
        <w:t xml:space="preserve">Capital allocation</w:t>
      </w:r>
      <w:r>
        <w:t xml:space="preserve"> </w:t>
      </w:r>
      <w:r>
        <w:t xml:space="preserve">— pace of buybacks/debt paydown given free cash flow guidance was raised, and dividend trajectory.</w:t>
      </w:r>
    </w:p>
    <w:p>
      <w:pPr>
        <w:pStyle w:val="Compact"/>
        <w:numPr>
          <w:ilvl w:val="0"/>
          <w:numId w:val="1003"/>
        </w:numPr>
      </w:pPr>
      <w:r>
        <w:rPr>
          <w:b/>
          <w:bCs/>
        </w:rPr>
        <w:t xml:space="preserve">Any change to full-year guidance</w:t>
      </w:r>
      <w:r>
        <w:t xml:space="preserve"> </w:t>
      </w:r>
      <w:r>
        <w:t xml:space="preserve">given three consecutive quarters of segment operating income beats and the transition in the corner office.</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Heading into the print, sentiment is "best neutral" — solid, self-reinforcing momentum in Chicken and Prepared Foods, a cheap valuation, and an above-average dividend are being weighed against lingering Beef-cycle losses and a very unusual amount of C-suite turnover in a single fiscal year (new CEO incoming, new COO already in place). The fundamental setup argues for another beat-and-raise-style quarter on execution, but the market's focus is just as likely to center on management's tone regarding the transition and early signals from the incoming leadership team as it is on the numbers themselves.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2026-08-03T00:07:10Z</dcterms:created>
  <dcterms:modified xsi:type="dcterms:W3CDTF">2026-08-03T00:07:10Z</dcterms:modified>
</cp:coreProperties>
</file>

<file path=docProps/custom.xml><?xml version="1.0" encoding="utf-8"?>
<Properties xmlns="http://schemas.openxmlformats.org/officeDocument/2006/custom-properties" xmlns:vt="http://schemas.openxmlformats.org/officeDocument/2006/docPropsVTypes"/>
</file>