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32fb3dff34a05761f196a38030855aa7bc7362"/>
    <w:p>
      <w:pPr>
        <w:pStyle w:val="Heading1"/>
      </w:pPr>
      <w:r>
        <w:t xml:space="preserve">Tyson Foods (TSN) Fiscal Q3 2026 Earnings Preview</w:t>
      </w:r>
    </w:p>
    <w:p>
      <w:pPr>
        <w:pStyle w:val="FirstParagraph"/>
      </w:pPr>
      <w:r>
        <w:rPr>
          <w:b/>
          <w:bCs/>
        </w:rPr>
        <w:t xml:space="preserve">Report date:</w:t>
      </w:r>
      <w:r>
        <w:t xml:space="preserve"> </w:t>
      </w:r>
      <w:r>
        <w:t xml:space="preserve">Monday, August 3, 2026, before the market opens</w:t>
      </w:r>
      <w:r>
        <w:br/>
      </w:r>
      <w:r>
        <w:rPr>
          <w:b/>
          <w:bCs/>
        </w:rPr>
        <w:t xml:space="preserve">Conference call:</w:t>
      </w:r>
      <w:r>
        <w:t xml:space="preserve"> </w:t>
      </w:r>
      <w:r>
        <w:t xml:space="preserve">9:00 a.m. ET</w:t>
      </w:r>
      <w:r>
        <w:br/>
      </w:r>
      <w:r>
        <w:rPr>
          <w:b/>
          <w:bCs/>
        </w:rPr>
        <w:t xml:space="preserve">Quarter ended:</w:t>
      </w:r>
      <w:r>
        <w:t xml:space="preserve"> </w:t>
      </w:r>
      <w:r>
        <w:t xml:space="preserve">June 27, 2026</w:t>
      </w:r>
      <w:r>
        <w:br/>
      </w:r>
      <w:r>
        <w:rPr>
          <w:b/>
          <w:bCs/>
        </w:rPr>
        <w:t xml:space="preserve">Street expectations:</w:t>
      </w:r>
      <w:r>
        <w:t xml:space="preserve"> </w:t>
      </w:r>
      <w:r>
        <w:t xml:space="preserve">Approximately</w:t>
      </w:r>
      <w:r>
        <w:t xml:space="preserve"> </w:t>
      </w:r>
      <m:oMath>
        <m:r>
          <m:t>14.1</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0.99 of adjusted EPS</w:t>
      </w:r>
    </w:p>
    <w:bookmarkStart w:id="9" w:name="investment-view-going-into-the-report"/>
    <w:p>
      <w:pPr>
        <w:pStyle w:val="Heading2"/>
      </w:pPr>
      <w:r>
        <w:t xml:space="preserve">Investment view going into the report</w:t>
      </w:r>
    </w:p>
    <w:p>
      <w:pPr>
        <w:pStyle w:val="FirstParagraph"/>
      </w:pPr>
      <w:r>
        <w:t xml:space="preserve">Tyson enters fiscal Q3 with two very different earnings stories under one roof:</w:t>
      </w:r>
    </w:p>
    <w:p>
      <w:pPr>
        <w:pStyle w:val="Compact"/>
        <w:numPr>
          <w:ilvl w:val="0"/>
          <w:numId w:val="1001"/>
        </w:numPr>
      </w:pPr>
      <w:r>
        <w:rPr>
          <w:b/>
          <w:bCs/>
        </w:rPr>
        <w:t xml:space="preserve">Chicken and Prepared Foods are performing exceptionally well</w:t>
      </w:r>
      <w:r>
        <w:t xml:space="preserve">, supported by improved operations, favorable product mix, market-share gains and Tyson’s recovering poultry-genetics business.</w:t>
      </w:r>
    </w:p>
    <w:p>
      <w:pPr>
        <w:pStyle w:val="Compact"/>
        <w:numPr>
          <w:ilvl w:val="0"/>
          <w:numId w:val="1001"/>
        </w:numPr>
      </w:pPr>
      <w:r>
        <w:rPr>
          <w:b/>
          <w:bCs/>
        </w:rPr>
        <w:t xml:space="preserve">Beef remains deeply unprofitable</w:t>
      </w:r>
      <w:r>
        <w:t xml:space="preserve"> </w:t>
      </w:r>
      <w:r>
        <w:t xml:space="preserve">because of historically tight cattle supplies and elevated cattle costs.</w:t>
      </w:r>
    </w:p>
    <w:p>
      <w:pPr>
        <w:pStyle w:val="FirstParagraph"/>
      </w:pPr>
      <w:r>
        <w:t xml:space="preserve">The key question is therefore not simply whether Tyson beats the $0.99 EPS estimate. It is whether management can demonstrate that Chicken’s improvement is durable</w:t>
      </w:r>
      <w:r>
        <w:t xml:space="preserve"> </w:t>
      </w:r>
      <w:r>
        <w:rPr>
          <w:b/>
          <w:bCs/>
        </w:rPr>
        <w:t xml:space="preserve">and</w:t>
      </w:r>
      <w:r>
        <w:t xml:space="preserve"> </w:t>
      </w:r>
      <w:r>
        <w:t xml:space="preserve">that Beef losses are beginning the sharp second-half moderation embedded in full-year guidance.</w:t>
      </w:r>
    </w:p>
    <w:p>
      <w:pPr>
        <w:pStyle w:val="BodyText"/>
      </w:pPr>
      <w:r>
        <w:t xml:space="preserve">A modest headline beat accompanied by weaker segment guidance could disappoint. Conversely, even an ordinary EPS result could be received positively if Tyson raises or narrows guidance upward and provides convincing evidence that Beef has passed its earnings trough.</w:t>
      </w:r>
    </w:p>
    <w:p>
      <w:r>
        <w:pict>
          <v:rect style="width:0;height:1.5pt" o:hralign="center" o:hrstd="t" o:hr="t"/>
        </w:pict>
      </w:r>
    </w:p>
    <w:bookmarkEnd w:id="9"/>
    <w:bookmarkStart w:id="10" w:name="expectations-and-relevant-comparisons"/>
    <w:p>
      <w:pPr>
        <w:pStyle w:val="Heading2"/>
      </w:pPr>
      <w:r>
        <w:t xml:space="preserve">Expectations and relevant comparisons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Q3 2026 expectation</w:t>
            </w:r>
          </w:p>
        </w:tc>
        <w:tc>
          <w:tcPr/>
          <w:p>
            <w:pPr>
              <w:pStyle w:val="Compact"/>
              <w:jc w:val="right"/>
            </w:pPr>
            <w:r>
              <w:t xml:space="preserve">Fiscal Q3 2025 actual</w:t>
            </w:r>
          </w:p>
        </w:tc>
        <w:tc>
          <w:tcPr/>
          <w:p>
            <w:pPr>
              <w:pStyle w:val="Compact"/>
              <w:jc w:val="right"/>
            </w:pPr>
            <w:r>
              <w:t xml:space="preserve">Approx. change</w:t>
            </w:r>
          </w:p>
        </w:tc>
      </w:tr>
      <w:tr>
        <w:tc>
          <w:tcPr/>
          <w:p>
            <w:pPr>
              <w:pStyle w:val="Compact"/>
            </w:pPr>
            <w:r>
              <w:t xml:space="preserve">Revenue</w:t>
            </w:r>
          </w:p>
        </w:tc>
        <w:tc>
          <w:tcPr/>
          <w:p>
            <w:pPr>
              <w:pStyle w:val="Compact"/>
              <w:jc w:val="right"/>
            </w:pPr>
            <w:r>
              <w:t xml:space="preserve">$14.1B</w:t>
            </w:r>
          </w:p>
        </w:tc>
        <w:tc>
          <w:tcPr/>
          <w:p>
            <w:pPr>
              <w:pStyle w:val="Compact"/>
              <w:jc w:val="right"/>
            </w:pPr>
            <w:r>
              <w:t xml:space="preserve">$13.884B</w:t>
            </w:r>
          </w:p>
        </w:tc>
        <w:tc>
          <w:tcPr/>
          <w:p>
            <w:pPr>
              <w:pStyle w:val="Compact"/>
              <w:jc w:val="right"/>
            </w:pPr>
            <w:r>
              <w:t xml:space="preserve">+1.6%</w:t>
            </w:r>
          </w:p>
        </w:tc>
      </w:tr>
      <w:tr>
        <w:tc>
          <w:tcPr/>
          <w:p>
            <w:pPr>
              <w:pStyle w:val="Compact"/>
            </w:pPr>
            <w:r>
              <w:t xml:space="preserve">Adjusted EPS</w:t>
            </w:r>
          </w:p>
        </w:tc>
        <w:tc>
          <w:tcPr/>
          <w:p>
            <w:pPr>
              <w:pStyle w:val="Compact"/>
              <w:jc w:val="right"/>
            </w:pPr>
            <w:r>
              <w:t xml:space="preserve">$0.99</w:t>
            </w:r>
          </w:p>
        </w:tc>
        <w:tc>
          <w:tcPr/>
          <w:p>
            <w:pPr>
              <w:pStyle w:val="Compact"/>
              <w:jc w:val="right"/>
            </w:pPr>
            <w:r>
              <w:t xml:space="preserve">$0.91</w:t>
            </w:r>
          </w:p>
        </w:tc>
        <w:tc>
          <w:tcPr/>
          <w:p>
            <w:pPr>
              <w:pStyle w:val="Compact"/>
              <w:jc w:val="right"/>
            </w:pPr>
            <w:r>
              <w:t xml:space="preserve">+8.8%</w:t>
            </w:r>
          </w:p>
        </w:tc>
      </w:tr>
      <w:tr>
        <w:tc>
          <w:tcPr/>
          <w:p>
            <w:pPr>
              <w:pStyle w:val="Compact"/>
            </w:pPr>
            <w:r>
              <w:t xml:space="preserve">Adjusted operating income</w:t>
            </w:r>
          </w:p>
        </w:tc>
        <w:tc>
          <w:tcPr/>
          <w:p>
            <w:pPr>
              <w:pStyle w:val="Compact"/>
              <w:jc w:val="right"/>
            </w:pPr>
            <w:r>
              <w:t xml:space="preserve">Not specified</w:t>
            </w:r>
          </w:p>
        </w:tc>
        <w:tc>
          <w:tcPr/>
          <w:p>
            <w:pPr>
              <w:pStyle w:val="Compact"/>
              <w:jc w:val="right"/>
            </w:pPr>
            <w:r>
              <w:t xml:space="preserve">$505M</w:t>
            </w:r>
          </w:p>
        </w:tc>
        <w:tc>
          <w:tcPr/>
          <w:p>
            <w:pPr>
              <w:pStyle w:val="Compact"/>
              <w:jc w:val="right"/>
            </w:pPr>
            <w:r>
              <w:t xml:space="preserve">—</w:t>
            </w:r>
          </w:p>
        </w:tc>
      </w:tr>
      <w:tr>
        <w:tc>
          <w:tcPr/>
          <w:p>
            <w:pPr>
              <w:pStyle w:val="Compact"/>
            </w:pPr>
            <w:r>
              <w:t xml:space="preserve">Adjusted operating margin</w:t>
            </w:r>
          </w:p>
        </w:tc>
        <w:tc>
          <w:tcPr/>
          <w:p>
            <w:pPr>
              <w:pStyle w:val="Compact"/>
              <w:jc w:val="right"/>
            </w:pPr>
            <w:r>
              <w:t xml:space="preserve">Not specified</w:t>
            </w:r>
          </w:p>
        </w:tc>
        <w:tc>
          <w:tcPr/>
          <w:p>
            <w:pPr>
              <w:pStyle w:val="Compact"/>
              <w:jc w:val="right"/>
            </w:pPr>
            <w:r>
              <w:t xml:space="preserve">3.6%</w:t>
            </w:r>
          </w:p>
        </w:tc>
        <w:tc>
          <w:tcPr/>
          <w:p>
            <w:pPr>
              <w:pStyle w:val="Compact"/>
              <w:jc w:val="right"/>
            </w:pPr>
            <w:r>
              <w:t xml:space="preserve">—</w:t>
            </w:r>
          </w:p>
        </w:tc>
      </w:tr>
    </w:tbl>
    <w:p>
      <w:pPr>
        <w:pStyle w:val="BodyText"/>
      </w:pPr>
      <w:r>
        <w:t xml:space="preserve">Investors should use caution when comparing individual segment results with fiscal 2025. Beginning in fiscal 2026, Tyson stopped allocating corporate expenses and amortization to its segments and separately designated International as a reportable segment. Consolidated adjusted operating income remains comparable, but historical segment margins may not be directly comparable without recasting.</w:t>
      </w:r>
    </w:p>
    <w:p>
      <w:r>
        <w:pict>
          <v:rect style="width:0;height:1.5pt" o:hralign="center" o:hrstd="t" o:hr="t"/>
        </w:pict>
      </w:r>
    </w:p>
    <w:bookmarkEnd w:id="10"/>
    <w:bookmarkStart w:id="12" w:name="Xa536b4ad09a766ae3e9548eb0ec618901caa7e1"/>
    <w:p>
      <w:pPr>
        <w:pStyle w:val="Heading2"/>
      </w:pPr>
      <w:r>
        <w:t xml:space="preserve">The most important issue: Does Tyson reaffirm or raise guidance?</w:t>
      </w:r>
    </w:p>
    <w:p>
      <w:pPr>
        <w:pStyle w:val="FirstParagraph"/>
      </w:pPr>
      <w:r>
        <w:t xml:space="preserve">After fiscal Q2, Tyson raised its fiscal 2026 adjusted operating-income outlook to</w:t>
      </w:r>
      <w:r>
        <w:t xml:space="preserve"> </w:t>
      </w:r>
      <m:oMath>
        <m:r>
          <m:t>2.2</m:t>
        </m:r>
        <m:r>
          <m:t>b</m:t>
        </m:r>
        <m:r>
          <m:t>i</m:t>
        </m:r>
        <m:r>
          <m:t>l</m:t>
        </m:r>
        <m:r>
          <m:t>l</m:t>
        </m:r>
        <m:r>
          <m:t>i</m:t>
        </m:r>
        <m:r>
          <m:t>o</m:t>
        </m:r>
        <m:r>
          <m:t>n</m:t>
        </m:r>
        <m:r>
          <m:rPr>
            <m:sty m:val="p"/>
          </m:rPr>
          <m:t>–</m:t>
        </m:r>
      </m:oMath>
      <w:r>
        <w:rPr>
          <w:b/>
          <w:bCs/>
        </w:rPr>
        <w:t xml:space="preserve">2.4 billion</w:t>
      </w:r>
      <w:r>
        <w:t xml:space="preserve">, from stronger Chicken performance and better year-to-date execution.</w:t>
      </w:r>
    </w:p>
    <w:p>
      <w:pPr>
        <w:pStyle w:val="BodyText"/>
      </w:pPr>
      <w:r>
        <w:t xml:space="preserve">Current full-year guidance includes: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Business</w:t>
            </w:r>
          </w:p>
        </w:tc>
        <w:tc>
          <w:tcPr/>
          <w:p>
            <w:pPr>
              <w:pStyle w:val="Compact"/>
              <w:jc w:val="right"/>
            </w:pPr>
            <w:r>
              <w:t xml:space="preserve">FY2026 adjusted operating-income guidance</w:t>
            </w:r>
          </w:p>
        </w:tc>
        <w:tc>
          <w:tcPr/>
          <w:p>
            <w:pPr>
              <w:pStyle w:val="Compact"/>
              <w:jc w:val="right"/>
            </w:pPr>
            <w:r>
              <w:t xml:space="preserve">First-half FY2026 result</w:t>
            </w:r>
          </w:p>
        </w:tc>
        <w:tc>
          <w:tcPr/>
          <w:p>
            <w:pPr>
              <w:pStyle w:val="Compact"/>
              <w:jc w:val="right"/>
            </w:pPr>
            <w:r>
              <w:t xml:space="preserve">Implied second half</w:t>
            </w:r>
          </w:p>
        </w:tc>
      </w:tr>
      <w:tr>
        <w:tc>
          <w:tcPr/>
          <w:p>
            <w:pPr>
              <w:pStyle w:val="Compact"/>
            </w:pPr>
            <w:r>
              <w:t xml:space="preserve">Beef</w:t>
            </w:r>
          </w:p>
        </w:tc>
        <w:tc>
          <w:tcPr/>
          <w:p>
            <w:pPr>
              <w:pStyle w:val="Compact"/>
              <w:jc w:val="right"/>
            </w:pPr>
            <m:oMath>
              <m:r>
                <m:rPr>
                  <m:sty m:val="p"/>
                </m:rPr>
                <m:t>(</m:t>
              </m:r>
              <m:r>
                <m:t>500</m:t>
              </m:r>
              <m:r>
                <m:rPr>
                  <m:sty m:val="p"/>
                </m:rPr>
                <m:t>)</m:t>
              </m:r>
              <m:r>
                <m:t>M</m:t>
              </m:r>
              <m:r>
                <m:rPr>
                  <m:sty m:val="p"/>
                </m:rPr>
                <m:t>–</m:t>
              </m:r>
            </m:oMath>
            <w:r>
              <w:t xml:space="preserve">(350)M</w:t>
            </w:r>
          </w:p>
        </w:tc>
        <w:tc>
          <w:tcPr/>
          <w:p>
            <w:pPr>
              <w:pStyle w:val="Compact"/>
              <w:jc w:val="right"/>
            </w:pPr>
            <w:r>
              <w:t xml:space="preserve">$(345)M</w:t>
            </w:r>
          </w:p>
        </w:tc>
        <w:tc>
          <w:tcPr/>
          <w:p>
            <w:pPr>
              <w:pStyle w:val="Compact"/>
              <w:jc w:val="right"/>
            </w:pPr>
            <m:oMath>
              <m:r>
                <m:rPr>
                  <m:sty m:val="p"/>
                </m:rPr>
                <m:t>(</m:t>
              </m:r>
              <m:r>
                <m:t>155</m:t>
              </m:r>
              <m:r>
                <m:rPr>
                  <m:sty m:val="p"/>
                </m:rPr>
                <m:t>)</m:t>
              </m:r>
              <m:r>
                <m:t>M</m:t>
              </m:r>
              <m:r>
                <m:rPr>
                  <m:sty m:val="p"/>
                </m:rPr>
                <m:t>–</m:t>
              </m:r>
            </m:oMath>
            <w:r>
              <w:t xml:space="preserve">(5)M</w:t>
            </w:r>
          </w:p>
        </w:tc>
      </w:tr>
      <w:tr>
        <w:tc>
          <w:tcPr/>
          <w:p>
            <w:pPr>
              <w:pStyle w:val="Compact"/>
            </w:pPr>
            <w:r>
              <w:t xml:space="preserve">Pork</w:t>
            </w:r>
          </w:p>
        </w:tc>
        <w:tc>
          <w:tcPr/>
          <w:p>
            <w:pPr>
              <w:pStyle w:val="Compact"/>
              <w:jc w:val="right"/>
            </w:pPr>
            <m:oMath>
              <m:r>
                <m:t>250</m:t>
              </m:r>
              <m:r>
                <m:t>M</m:t>
              </m:r>
              <m:r>
                <m:rPr>
                  <m:sty m:val="p"/>
                </m:rPr>
                <m:t>–</m:t>
              </m:r>
            </m:oMath>
            <w:r>
              <w:t xml:space="preserve">300M</w:t>
            </w:r>
          </w:p>
        </w:tc>
        <w:tc>
          <w:tcPr/>
          <w:p>
            <w:pPr>
              <w:pStyle w:val="Compact"/>
              <w:jc w:val="right"/>
            </w:pPr>
            <w:r>
              <w:t xml:space="preserve">$152M</w:t>
            </w:r>
          </w:p>
        </w:tc>
        <w:tc>
          <w:tcPr/>
          <w:p>
            <w:pPr>
              <w:pStyle w:val="Compact"/>
              <w:jc w:val="right"/>
            </w:pPr>
            <m:oMath>
              <m:r>
                <m:t>98</m:t>
              </m:r>
              <m:r>
                <m:t>M</m:t>
              </m:r>
              <m:r>
                <m:rPr>
                  <m:sty m:val="p"/>
                </m:rPr>
                <m:t>–</m:t>
              </m:r>
            </m:oMath>
            <w:r>
              <w:t xml:space="preserve">148M</w:t>
            </w:r>
          </w:p>
        </w:tc>
      </w:tr>
      <w:tr>
        <w:tc>
          <w:tcPr/>
          <w:p>
            <w:pPr>
              <w:pStyle w:val="Compact"/>
            </w:pPr>
            <w:r>
              <w:t xml:space="preserve">Chicken</w:t>
            </w:r>
          </w:p>
        </w:tc>
        <w:tc>
          <w:tcPr/>
          <w:p>
            <w:pPr>
              <w:pStyle w:val="Compact"/>
              <w:jc w:val="right"/>
            </w:pPr>
            <m:oMath>
              <m:r>
                <m:t>1.90</m:t>
              </m:r>
              <m:r>
                <m:t>B</m:t>
              </m:r>
              <m:r>
                <m:rPr>
                  <m:sty m:val="p"/>
                </m:rPr>
                <m:t>–</m:t>
              </m:r>
            </m:oMath>
            <w:r>
              <w:t xml:space="preserve">2.05B</w:t>
            </w:r>
          </w:p>
        </w:tc>
        <w:tc>
          <w:tcPr/>
          <w:p>
            <w:pPr>
              <w:pStyle w:val="Compact"/>
              <w:jc w:val="right"/>
            </w:pPr>
            <w:r>
              <w:t xml:space="preserve">$982M</w:t>
            </w:r>
          </w:p>
        </w:tc>
        <w:tc>
          <w:tcPr/>
          <w:p>
            <w:pPr>
              <w:pStyle w:val="Compact"/>
              <w:jc w:val="right"/>
            </w:pPr>
            <m:oMath>
              <m:r>
                <m:t>918</m:t>
              </m:r>
              <m:r>
                <m:t>M</m:t>
              </m:r>
              <m:r>
                <m:rPr>
                  <m:sty m:val="p"/>
                </m:rPr>
                <m:t>–</m:t>
              </m:r>
            </m:oMath>
            <w:r>
              <w:t xml:space="preserve">1.07B</w:t>
            </w:r>
          </w:p>
        </w:tc>
      </w:tr>
      <w:tr>
        <w:tc>
          <w:tcPr/>
          <w:p>
            <w:pPr>
              <w:pStyle w:val="Compact"/>
            </w:pPr>
            <w:r>
              <w:t xml:space="preserve">Prepared Foods</w:t>
            </w:r>
          </w:p>
        </w:tc>
        <w:tc>
          <w:tcPr/>
          <w:p>
            <w:pPr>
              <w:pStyle w:val="Compact"/>
              <w:jc w:val="right"/>
            </w:pPr>
            <m:oMath>
              <m:r>
                <m:t>1.25</m:t>
              </m:r>
              <m:r>
                <m:t>B</m:t>
              </m:r>
              <m:r>
                <m:rPr>
                  <m:sty m:val="p"/>
                </m:rPr>
                <m:t>–</m:t>
              </m:r>
            </m:oMath>
            <w:r>
              <w:t xml:space="preserve">1.35B</w:t>
            </w:r>
          </w:p>
        </w:tc>
        <w:tc>
          <w:tcPr/>
          <w:p>
            <w:pPr>
              <w:pStyle w:val="Compact"/>
              <w:jc w:val="right"/>
            </w:pPr>
            <w:r>
              <w:t xml:space="preserve">$690M</w:t>
            </w:r>
          </w:p>
        </w:tc>
        <w:tc>
          <w:tcPr/>
          <w:p>
            <w:pPr>
              <w:pStyle w:val="Compact"/>
              <w:jc w:val="right"/>
            </w:pPr>
            <m:oMath>
              <m:r>
                <m:t>560</m:t>
              </m:r>
              <m:r>
                <m:t>M</m:t>
              </m:r>
              <m:r>
                <m:rPr>
                  <m:sty m:val="p"/>
                </m:rPr>
                <m:t>–</m:t>
              </m:r>
            </m:oMath>
            <w:r>
              <w:t xml:space="preserve">660M</w:t>
            </w:r>
          </w:p>
        </w:tc>
      </w:tr>
      <w:tr>
        <w:tc>
          <w:tcPr/>
          <w:p>
            <w:pPr>
              <w:pStyle w:val="Compact"/>
            </w:pPr>
            <w:r>
              <w:t xml:space="preserve">International</w:t>
            </w:r>
          </w:p>
        </w:tc>
        <w:tc>
          <w:tcPr/>
          <w:p>
            <w:pPr>
              <w:pStyle w:val="Compact"/>
              <w:jc w:val="right"/>
            </w:pPr>
            <m:oMath>
              <m:r>
                <m:t>150</m:t>
              </m:r>
              <m:r>
                <m:t>M</m:t>
              </m:r>
              <m:r>
                <m:rPr>
                  <m:sty m:val="p"/>
                </m:rPr>
                <m:t>–</m:t>
              </m:r>
            </m:oMath>
            <w:r>
              <w:t xml:space="preserve">200M</w:t>
            </w:r>
          </w:p>
        </w:tc>
        <w:tc>
          <w:tcPr/>
          <w:p>
            <w:pPr>
              <w:pStyle w:val="Compact"/>
              <w:jc w:val="right"/>
            </w:pPr>
            <w:r>
              <w:t xml:space="preserve">$83M</w:t>
            </w:r>
          </w:p>
        </w:tc>
        <w:tc>
          <w:tcPr/>
          <w:p>
            <w:pPr>
              <w:pStyle w:val="Compact"/>
              <w:jc w:val="right"/>
            </w:pPr>
            <m:oMath>
              <m:r>
                <m:t>67</m:t>
              </m:r>
              <m:r>
                <m:t>M</m:t>
              </m:r>
              <m:r>
                <m:rPr>
                  <m:sty m:val="p"/>
                </m:rPr>
                <m:t>–</m:t>
              </m:r>
            </m:oMath>
            <w:r>
              <w:t xml:space="preserve">117M</w:t>
            </w:r>
          </w:p>
        </w:tc>
      </w:tr>
      <w:tr>
        <w:tc>
          <w:tcPr/>
          <w:p>
            <w:pPr>
              <w:pStyle w:val="Compact"/>
            </w:pPr>
            <w:r>
              <w:t xml:space="preserve">Total company</w:t>
            </w:r>
          </w:p>
        </w:tc>
        <w:tc>
          <w:tcPr/>
          <w:p>
            <w:pPr>
              <w:pStyle w:val="Compact"/>
              <w:jc w:val="right"/>
            </w:pPr>
            <m:oMath>
              <m:r>
                <m:t>2.20</m:t>
              </m:r>
              <m:r>
                <m:t>B</m:t>
              </m:r>
              <m:r>
                <m:rPr>
                  <m:sty m:val="p"/>
                </m:rPr>
                <m:t>–</m:t>
              </m:r>
            </m:oMath>
            <w:r>
              <w:t xml:space="preserve">2.40B</w:t>
            </w:r>
          </w:p>
        </w:tc>
        <w:tc>
          <w:tcPr/>
          <w:p>
            <w:pPr>
              <w:pStyle w:val="Compact"/>
              <w:jc w:val="right"/>
            </w:pPr>
            <w:r>
              <w:t xml:space="preserve">$1.069B</w:t>
            </w:r>
          </w:p>
        </w:tc>
        <w:tc>
          <w:tcPr/>
          <w:p>
            <w:pPr>
              <w:pStyle w:val="Compact"/>
              <w:jc w:val="right"/>
            </w:pPr>
            <m:oMath>
              <m:r>
                <m:t>1.131</m:t>
              </m:r>
              <m:r>
                <m:t>B</m:t>
              </m:r>
              <m:r>
                <m:rPr>
                  <m:sty m:val="p"/>
                </m:rPr>
                <m:t>–</m:t>
              </m:r>
            </m:oMath>
            <w:r>
              <w:t xml:space="preserve">1.331B</w:t>
            </w:r>
          </w:p>
        </w:tc>
      </w:tr>
    </w:tbl>
    <w:p>
      <w:pPr>
        <w:pStyle w:val="BodyText"/>
      </w:pPr>
      <w:r>
        <w:t xml:space="preserve">Other guidance includes:</w:t>
      </w:r>
    </w:p>
    <w:p>
      <w:pPr>
        <w:pStyle w:val="Compact"/>
        <w:numPr>
          <w:ilvl w:val="0"/>
          <w:numId w:val="1002"/>
        </w:numPr>
      </w:pPr>
      <w:r>
        <w:rPr>
          <w:b/>
          <w:bCs/>
        </w:rPr>
        <w:t xml:space="preserve">Sales growth:</w:t>
      </w:r>
      <w:r>
        <w:t xml:space="preserve"> </w:t>
      </w:r>
      <w:r>
        <w:t xml:space="preserve">2%–4%</w:t>
      </w:r>
    </w:p>
    <w:p>
      <w:pPr>
        <w:pStyle w:val="Compact"/>
        <w:numPr>
          <w:ilvl w:val="0"/>
          <w:numId w:val="1002"/>
        </w:numPr>
      </w:pPr>
      <w:r>
        <w:rPr>
          <w:b/>
          <w:bCs/>
        </w:rPr>
        <w:t xml:space="preserve">Free cash flow:</w:t>
      </w:r>
      <w:r>
        <w:t xml:space="preserve"> </w:t>
      </w:r>
      <m:oMath>
        <m:r>
          <m:t>1.2</m:t>
        </m:r>
        <m:r>
          <m:t>B</m:t>
        </m:r>
        <m:r>
          <m:rPr>
            <m:sty m:val="p"/>
          </m:rPr>
          <m:t>–</m:t>
        </m:r>
      </m:oMath>
      <w:r>
        <w:t xml:space="preserve">1.8B</w:t>
      </w:r>
    </w:p>
    <w:p>
      <w:pPr>
        <w:pStyle w:val="Compact"/>
        <w:numPr>
          <w:ilvl w:val="0"/>
          <w:numId w:val="1002"/>
        </w:numPr>
      </w:pPr>
      <w:r>
        <w:rPr>
          <w:b/>
          <w:bCs/>
        </w:rPr>
        <w:t xml:space="preserve">Capital expenditures:</w:t>
      </w:r>
      <w:r>
        <w:t xml:space="preserve"> </w:t>
      </w:r>
      <m:oMath>
        <m:r>
          <m:t>700</m:t>
        </m:r>
        <m:r>
          <m:t>M</m:t>
        </m:r>
        <m:r>
          <m:rPr>
            <m:sty m:val="p"/>
          </m:rPr>
          <m:t>–</m:t>
        </m:r>
      </m:oMath>
      <w:r>
        <w:t xml:space="preserve">1.0B</w:t>
      </w:r>
    </w:p>
    <w:p>
      <w:pPr>
        <w:pStyle w:val="Compact"/>
        <w:numPr>
          <w:ilvl w:val="0"/>
          <w:numId w:val="1002"/>
        </w:numPr>
      </w:pPr>
      <w:r>
        <w:rPr>
          <w:b/>
          <w:bCs/>
        </w:rPr>
        <w:t xml:space="preserve">Net interest expense:</w:t>
      </w:r>
      <w:r>
        <w:t xml:space="preserve"> </w:t>
      </w:r>
      <w:r>
        <w:t xml:space="preserve">Approximately $365M</w:t>
      </w:r>
    </w:p>
    <w:p>
      <w:pPr>
        <w:pStyle w:val="Compact"/>
        <w:numPr>
          <w:ilvl w:val="0"/>
          <w:numId w:val="1002"/>
        </w:numPr>
      </w:pPr>
      <w:r>
        <w:rPr>
          <w:b/>
          <w:bCs/>
        </w:rPr>
        <w:t xml:space="preserve">Adjusted tax rate:</w:t>
      </w:r>
      <w:r>
        <w:t xml:space="preserve"> </w:t>
      </w:r>
      <w:r>
        <w:t xml:space="preserve">Approximately 25%</w:t>
      </w:r>
    </w:p>
    <w:p>
      <w:pPr>
        <w:pStyle w:val="Compact"/>
        <w:numPr>
          <w:ilvl w:val="0"/>
          <w:numId w:val="1002"/>
        </w:numPr>
      </w:pPr>
      <w:r>
        <w:rPr>
          <w:b/>
          <w:bCs/>
        </w:rPr>
        <w:t xml:space="preserve">Corporate expenses and amortization:</w:t>
      </w:r>
      <w:r>
        <w:t xml:space="preserve"> </w:t>
      </w:r>
      <m:oMath>
        <m:r>
          <m:t>950</m:t>
        </m:r>
        <m:r>
          <m:t>M</m:t>
        </m:r>
        <m:r>
          <m:rPr>
            <m:sty m:val="p"/>
          </m:rPr>
          <m:t>–</m:t>
        </m:r>
      </m:oMath>
      <w:r>
        <w:t xml:space="preserve">975M</w:t>
      </w:r>
    </w:p>
    <w:bookmarkStart w:id="11" w:name="why-the-guidance-math-matters"/>
    <w:p>
      <w:pPr>
        <w:pStyle w:val="Heading3"/>
      </w:pPr>
      <w:r>
        <w:t xml:space="preserve">Why the guidance math matters</w:t>
      </w:r>
    </w:p>
    <w:p>
      <w:pPr>
        <w:pStyle w:val="FirstParagraph"/>
      </w:pPr>
      <w:r>
        <w:t xml:space="preserve">The outlook assumes stronger consolidated earnings in the second half than in the first half. Most importantly, it assumes</w:t>
      </w:r>
      <w:r>
        <w:t xml:space="preserve"> </w:t>
      </w:r>
      <w:r>
        <w:rPr>
          <w:b/>
          <w:bCs/>
        </w:rPr>
        <w:t xml:space="preserve">Beef losses decline substantially</w:t>
      </w:r>
      <w:r>
        <w:t xml:space="preserve">.</w:t>
      </w:r>
    </w:p>
    <w:p>
      <w:pPr>
        <w:pStyle w:val="BodyText"/>
      </w:pPr>
      <w:r>
        <w:t xml:space="preserve">After a first-half adjusted Beef loss of $345 million, the full-year range permits only $5 million to $155 million of additional losses in the second half. A Q3 Beef loss still near Q2’s adjusted loss of $202 million would put the current annual range under pressure unless management expected an unusually strong Q4 recovery.</w:t>
      </w:r>
    </w:p>
    <w:p>
      <w:pPr>
        <w:pStyle w:val="BodyText"/>
      </w:pPr>
      <w:r>
        <w:t xml:space="preserve">For that reason, Beef guidance may drive the stock more than the EPS beat or miss.</w:t>
      </w:r>
    </w:p>
    <w:p>
      <w:r>
        <w:pict>
          <v:rect style="width:0;height:1.5pt" o:hralign="center" o:hrstd="t" o:hr="t"/>
        </w:pict>
      </w:r>
    </w:p>
    <w:bookmarkEnd w:id="11"/>
    <w:bookmarkEnd w:id="12"/>
    <w:bookmarkStart w:id="18" w:name="segment-preview"/>
    <w:p>
      <w:pPr>
        <w:pStyle w:val="Heading2"/>
      </w:pPr>
      <w:r>
        <w:t xml:space="preserve">Segment preview</w:t>
      </w:r>
    </w:p>
    <w:bookmarkStart w:id="13" w:name="Xf59e1cf525422d258e773a056bbf0f75f7af364"/>
    <w:p>
      <w:pPr>
        <w:pStyle w:val="Heading3"/>
      </w:pPr>
      <w:r>
        <w:t xml:space="preserve">1. Chicken: The earnings engine</w:t>
      </w:r>
    </w:p>
    <w:p>
      <w:pPr>
        <w:pStyle w:val="FirstParagraph"/>
      </w:pPr>
      <w:r>
        <w:t xml:space="preserve">Chicken produced</w:t>
      </w:r>
      <w:r>
        <w:t xml:space="preserve"> </w:t>
      </w:r>
      <w:r>
        <w:rPr>
          <w:b/>
          <w:bCs/>
        </w:rPr>
        <w:t xml:space="preserve">$523 million of adjusted segment operating income</w:t>
      </w:r>
      <w:r>
        <w:t xml:space="preserve"> </w:t>
      </w:r>
      <w:r>
        <w:t xml:space="preserve">and a</w:t>
      </w:r>
      <w:r>
        <w:t xml:space="preserve"> </w:t>
      </w:r>
      <w:r>
        <w:rPr>
          <w:b/>
          <w:bCs/>
        </w:rPr>
        <w:t xml:space="preserve">12.2% adjusted margin</w:t>
      </w:r>
      <w:r>
        <w:t xml:space="preserve"> </w:t>
      </w:r>
      <w:r>
        <w:t xml:space="preserve">in Q2. First-half adjusted operating income reached $982 million, versus full-year guidance of</w:t>
      </w:r>
      <w:r>
        <w:t xml:space="preserve"> </w:t>
      </w:r>
      <m:oMath>
        <m:r>
          <m:t>1.90</m:t>
        </m:r>
        <m:r>
          <m:t>b</m:t>
        </m:r>
        <m:r>
          <m:t>i</m:t>
        </m:r>
        <m:r>
          <m:t>l</m:t>
        </m:r>
        <m:r>
          <m:t>l</m:t>
        </m:r>
        <m:r>
          <m:t>i</m:t>
        </m:r>
        <m:r>
          <m:t>o</m:t>
        </m:r>
        <m:r>
          <m:t>n</m:t>
        </m:r>
        <m:r>
          <m:rPr>
            <m:sty m:val="p"/>
          </m:rPr>
          <m:t>–</m:t>
        </m:r>
      </m:oMath>
      <w:r>
        <w:t xml:space="preserve">2.05 billion.</w:t>
      </w:r>
    </w:p>
    <w:p>
      <w:pPr>
        <w:pStyle w:val="BodyText"/>
      </w:pPr>
      <w:r>
        <w:t xml:space="preserve">Management said after Q2 that:</w:t>
      </w:r>
    </w:p>
    <w:p>
      <w:pPr>
        <w:pStyle w:val="Compact"/>
        <w:numPr>
          <w:ilvl w:val="0"/>
          <w:numId w:val="1003"/>
        </w:numPr>
      </w:pPr>
      <w:r>
        <w:t xml:space="preserve">The second half should be as good as or better than the first.</w:t>
      </w:r>
    </w:p>
    <w:p>
      <w:pPr>
        <w:pStyle w:val="Compact"/>
        <w:numPr>
          <w:ilvl w:val="0"/>
          <w:numId w:val="1003"/>
        </w:numPr>
      </w:pPr>
      <w:r>
        <w:t xml:space="preserve">Performance was trending toward the upper end of annual guidance.</w:t>
      </w:r>
    </w:p>
    <w:p>
      <w:pPr>
        <w:pStyle w:val="Compact"/>
        <w:numPr>
          <w:ilvl w:val="0"/>
          <w:numId w:val="1003"/>
        </w:numPr>
      </w:pPr>
      <w:r>
        <w:t xml:space="preserve">The improvement was not dependent on further commodity tailwinds.</w:t>
      </w:r>
    </w:p>
    <w:p>
      <w:pPr>
        <w:pStyle w:val="Compact"/>
        <w:numPr>
          <w:ilvl w:val="0"/>
          <w:numId w:val="1003"/>
        </w:numPr>
      </w:pPr>
      <w:r>
        <w:t xml:space="preserve">Retail and food-service volumes were growing much faster than total Chicken volume.</w:t>
      </w:r>
    </w:p>
    <w:p>
      <w:pPr>
        <w:pStyle w:val="Compact"/>
        <w:numPr>
          <w:ilvl w:val="0"/>
          <w:numId w:val="1003"/>
        </w:numPr>
      </w:pPr>
      <w:r>
        <w:t xml:space="preserve">Better mix, operational performance, strategic customer relationships and poultry genetics were the principal drivers.</w:t>
      </w:r>
    </w:p>
    <w:p>
      <w:pPr>
        <w:pStyle w:val="FirstParagraph"/>
      </w:pPr>
      <w:r>
        <w:t xml:space="preserve">The poultry-genetics business is particularly important. Management attributed roughly one-third of Chicken’s year-over-year Q2 profit improvement to genetics and argued that additional benefits should emerge as the newer large-bird genetics flow through Tyson’s domestic broiler operations.</w:t>
      </w:r>
    </w:p>
    <w:p>
      <w:pPr>
        <w:pStyle w:val="BodyText"/>
      </w:pPr>
      <w:r>
        <w:rPr>
          <w:b/>
          <w:bCs/>
        </w:rPr>
        <w:t xml:space="preserve">What investors should watch:</w:t>
      </w:r>
    </w:p>
    <w:p>
      <w:pPr>
        <w:pStyle w:val="Compact"/>
        <w:numPr>
          <w:ilvl w:val="0"/>
          <w:numId w:val="1004"/>
        </w:numPr>
      </w:pPr>
      <w:r>
        <w:t xml:space="preserve">Whether Chicken margins remain near double digits.</w:t>
      </w:r>
    </w:p>
    <w:p>
      <w:pPr>
        <w:pStyle w:val="Compact"/>
        <w:numPr>
          <w:ilvl w:val="0"/>
          <w:numId w:val="1004"/>
        </w:numPr>
      </w:pPr>
      <w:r>
        <w:t xml:space="preserve">Volume growth in branded, value-added and strategic-customer channels.</w:t>
      </w:r>
    </w:p>
    <w:p>
      <w:pPr>
        <w:pStyle w:val="Compact"/>
        <w:numPr>
          <w:ilvl w:val="0"/>
          <w:numId w:val="1004"/>
        </w:numPr>
      </w:pPr>
      <w:r>
        <w:t xml:space="preserve">Evidence that improved genetics are lowering feed conversion costs, improving yields and increasing breast-meat production.</w:t>
      </w:r>
    </w:p>
    <w:p>
      <w:pPr>
        <w:pStyle w:val="Compact"/>
        <w:numPr>
          <w:ilvl w:val="0"/>
          <w:numId w:val="1004"/>
        </w:numPr>
      </w:pPr>
      <w:r>
        <w:t xml:space="preserve">Any negative impact from more difficult commodity comparisons or higher feed costs.</w:t>
      </w:r>
    </w:p>
    <w:p>
      <w:pPr>
        <w:pStyle w:val="Compact"/>
        <w:numPr>
          <w:ilvl w:val="0"/>
          <w:numId w:val="1004"/>
        </w:numPr>
      </w:pPr>
      <w:r>
        <w:t xml:space="preserve">Whether management again indicates that Chicken is trending toward the upper end of guidance.</w:t>
      </w:r>
    </w:p>
    <w:p>
      <w:pPr>
        <w:pStyle w:val="FirstParagraph"/>
      </w:pPr>
      <w:r>
        <w:rPr>
          <w:b/>
          <w:bCs/>
        </w:rPr>
        <w:t xml:space="preserve">Positive signal:</w:t>
      </w:r>
      <w:r>
        <w:t xml:space="preserve"> </w:t>
      </w:r>
      <w:r>
        <w:t xml:space="preserve">Guidance raised above $2.05 billion or narrowed toward the upper half.</w:t>
      </w:r>
    </w:p>
    <w:p>
      <w:pPr>
        <w:pStyle w:val="BodyText"/>
      </w:pPr>
      <w:r>
        <w:rPr>
          <w:b/>
          <w:bCs/>
        </w:rPr>
        <w:t xml:space="preserve">Concern:</w:t>
      </w:r>
      <w:r>
        <w:t xml:space="preserve"> </w:t>
      </w:r>
      <w:r>
        <w:t xml:space="preserve">A sharp sequential margin decline that management attributes to commodity conditions, undermining the claim that the improvement is structural.</w:t>
      </w:r>
    </w:p>
    <w:p>
      <w:r>
        <w:pict>
          <v:rect style="width:0;height:1.5pt" o:hralign="center" o:hrstd="t" o:hr="t"/>
        </w:pict>
      </w:r>
    </w:p>
    <w:bookmarkEnd w:id="13"/>
    <w:bookmarkStart w:id="14" w:name="Xb2dfe3691677c5d109585841651067b5d526cec"/>
    <w:p>
      <w:pPr>
        <w:pStyle w:val="Heading3"/>
      </w:pPr>
      <w:r>
        <w:t xml:space="preserve">2. Beef: The largest swing factor</w:t>
      </w:r>
    </w:p>
    <w:p>
      <w:pPr>
        <w:pStyle w:val="FirstParagraph"/>
      </w:pPr>
      <w:r>
        <w:t xml:space="preserve">Beef generated a</w:t>
      </w:r>
      <w:r>
        <w:t xml:space="preserve"> </w:t>
      </w:r>
      <m:oMath>
        <m:r>
          <m:t>202</m:t>
        </m:r>
        <m:r>
          <m:t>m</m:t>
        </m:r>
        <m:r>
          <m:t>i</m:t>
        </m:r>
        <m:r>
          <m:t>l</m:t>
        </m:r>
        <m:r>
          <m:t>l</m:t>
        </m:r>
        <m:r>
          <m:t>i</m:t>
        </m:r>
        <m:r>
          <m:t>o</m:t>
        </m:r>
        <m:r>
          <m:t>n</m:t>
        </m:r>
        <m:r>
          <m:t>a</m:t>
        </m:r>
        <m:r>
          <m:t>d</m:t>
        </m:r>
        <m:r>
          <m:t>j</m:t>
        </m:r>
        <m:r>
          <m:t>u</m:t>
        </m:r>
        <m:r>
          <m:t>s</m:t>
        </m:r>
        <m:r>
          <m:t>t</m:t>
        </m:r>
        <m:r>
          <m:t>e</m:t>
        </m:r>
        <m:r>
          <m:t>d</m:t>
        </m:r>
        <m:r>
          <m:t>o</m:t>
        </m:r>
        <m:r>
          <m:t>p</m:t>
        </m:r>
        <m:r>
          <m:t>e</m:t>
        </m:r>
        <m:r>
          <m:t>r</m:t>
        </m:r>
        <m:r>
          <m:t>a</m:t>
        </m:r>
        <m:r>
          <m:t>t</m:t>
        </m:r>
        <m:r>
          <m:t>i</m:t>
        </m:r>
        <m:r>
          <m:t>n</m:t>
        </m:r>
        <m:r>
          <m:t>g</m:t>
        </m:r>
        <m:r>
          <m:t>l</m:t>
        </m:r>
        <m:r>
          <m:t>o</m:t>
        </m:r>
        <m:r>
          <m:t>s</m:t>
        </m:r>
        <m:r>
          <m:t>s</m:t>
        </m:r>
        <m:r>
          <m:rPr>
            <m:sty m:val="p"/>
          </m:rPr>
          <m:t>*</m:t>
        </m:r>
        <m:r>
          <m:rPr>
            <m:sty m:val="p"/>
          </m:rPr>
          <m:t>*</m:t>
        </m:r>
        <m:r>
          <m:t>i</m:t>
        </m:r>
        <m:r>
          <m:t>n</m:t>
        </m:r>
        <m:r>
          <m:t>Q</m:t>
        </m:r>
        <m:r>
          <m:t>2</m:t>
        </m:r>
        <m:r>
          <m:t>a</m:t>
        </m:r>
        <m:r>
          <m:t>n</m:t>
        </m:r>
        <m:r>
          <m:t>d</m:t>
        </m:r>
        <m:r>
          <m:t>a</m:t>
        </m:r>
        <m:r>
          <m:rPr>
            <m:sty m:val="p"/>
          </m:rPr>
          <m:t>*</m:t>
        </m:r>
        <m:r>
          <m:rPr>
            <m:sty m:val="p"/>
          </m:rPr>
          <m:t>*</m:t>
        </m:r>
      </m:oMath>
      <w:r>
        <w:rPr>
          <w:b/>
          <w:bCs/>
        </w:rPr>
        <w:t xml:space="preserve">345 million adjusted loss</w:t>
      </w:r>
      <w:r>
        <w:t xml:space="preserve"> </w:t>
      </w:r>
      <w:r>
        <w:t xml:space="preserve">for the first half. Limited cattle availability and sharply higher cattle costs continue to outweigh strong beef pricing.</w:t>
      </w:r>
    </w:p>
    <w:p>
      <w:pPr>
        <w:pStyle w:val="BodyText"/>
      </w:pPr>
      <w:r>
        <w:t xml:space="preserve">Tyson has closed one harvesting facility and moved another to a single shift to align capacity with reduced cattle supplies. Management expects the benefits of those footprint actions—higher utilization, lower costs and improved mix—to build in the second half.</w:t>
      </w:r>
    </w:p>
    <w:p>
      <w:pPr>
        <w:pStyle w:val="BodyText"/>
      </w:pPr>
      <w:r>
        <w:t xml:space="preserve">Investors recently welcomed the USDA’s decision to resume cattle shipments from Mexico. That is strategically favorable, but it should not materially improve the reported Q3 result: the announcement came after the quarter ended, and shipments were expected to resume only after an additional waiting period. Its relevance is primarily to Tyson’s forward outlook.</w:t>
      </w:r>
    </w:p>
    <w:p>
      <w:pPr>
        <w:pStyle w:val="BodyText"/>
      </w:pPr>
      <w:r>
        <w:rPr>
          <w:b/>
          <w:bCs/>
        </w:rPr>
        <w:t xml:space="preserve">What investors should watch:</w:t>
      </w:r>
    </w:p>
    <w:p>
      <w:pPr>
        <w:pStyle w:val="Compact"/>
        <w:numPr>
          <w:ilvl w:val="0"/>
          <w:numId w:val="1005"/>
        </w:numPr>
      </w:pPr>
      <w:r>
        <w:t xml:space="preserve">The sequential change from Q2’s $202 million adjusted loss.</w:t>
      </w:r>
    </w:p>
    <w:p>
      <w:pPr>
        <w:pStyle w:val="Compact"/>
        <w:numPr>
          <w:ilvl w:val="0"/>
          <w:numId w:val="1005"/>
        </w:numPr>
      </w:pPr>
      <w:r>
        <w:t xml:space="preserve">Plant utilization and savings from the smaller harvesting footprint.</w:t>
      </w:r>
    </w:p>
    <w:p>
      <w:pPr>
        <w:pStyle w:val="Compact"/>
        <w:numPr>
          <w:ilvl w:val="0"/>
          <w:numId w:val="1005"/>
        </w:numPr>
      </w:pPr>
      <w:r>
        <w:t xml:space="preserve">Management’s assumptions for cattle availability and live-cattle costs.</w:t>
      </w:r>
    </w:p>
    <w:p>
      <w:pPr>
        <w:pStyle w:val="Compact"/>
        <w:numPr>
          <w:ilvl w:val="0"/>
          <w:numId w:val="1005"/>
        </w:numPr>
      </w:pPr>
      <w:r>
        <w:t xml:space="preserve">Whether Mexican imports meaningfully alter the fiscal Q4 or fiscal 2027 outlook.</w:t>
      </w:r>
    </w:p>
    <w:p>
      <w:pPr>
        <w:pStyle w:val="Compact"/>
        <w:numPr>
          <w:ilvl w:val="0"/>
          <w:numId w:val="1005"/>
        </w:numPr>
      </w:pPr>
      <w:r>
        <w:t xml:space="preserve">Commentary on the timing of U.S. herd rebuilding.</w:t>
      </w:r>
    </w:p>
    <w:p>
      <w:pPr>
        <w:pStyle w:val="FirstParagraph"/>
      </w:pPr>
      <w:r>
        <w:rPr>
          <w:b/>
          <w:bCs/>
        </w:rPr>
        <w:t xml:space="preserve">Positive signal:</w:t>
      </w:r>
      <w:r>
        <w:t xml:space="preserve"> </w:t>
      </w:r>
      <w:r>
        <w:t xml:space="preserve">A material sequential reduction in Beef losses and unchanged or improved annual guidance.</w:t>
      </w:r>
    </w:p>
    <w:p>
      <w:pPr>
        <w:pStyle w:val="BodyText"/>
      </w:pPr>
      <w:r>
        <w:rPr>
          <w:b/>
          <w:bCs/>
        </w:rPr>
        <w:t xml:space="preserve">Concern:</w:t>
      </w:r>
      <w:r>
        <w:t xml:space="preserve"> </w:t>
      </w:r>
      <w:r>
        <w:t xml:space="preserve">Annual Beef guidance lowered below a $500 million loss, or management suggesting the current cattle cycle will worsen before improving.</w:t>
      </w:r>
    </w:p>
    <w:p>
      <w:r>
        <w:pict>
          <v:rect style="width:0;height:1.5pt" o:hralign="center" o:hrstd="t" o:hr="t"/>
        </w:pict>
      </w:r>
    </w:p>
    <w:bookmarkEnd w:id="14"/>
    <w:bookmarkStart w:id="15" w:name="Xfbfa9b6f6fc5845cd070088041e29d5d87878d3"/>
    <w:p>
      <w:pPr>
        <w:pStyle w:val="Heading3"/>
      </w:pPr>
      <w:r>
        <w:t xml:space="preserve">3. Prepared Foods: The quality and valuation argument</w:t>
      </w:r>
    </w:p>
    <w:p>
      <w:pPr>
        <w:pStyle w:val="FirstParagraph"/>
      </w:pPr>
      <w:r>
        <w:t xml:space="preserve">Prepared Foods delivered</w:t>
      </w:r>
      <w:r>
        <w:t xml:space="preserve"> </w:t>
      </w:r>
      <w:r>
        <w:rPr>
          <w:b/>
          <w:bCs/>
        </w:rPr>
        <w:t xml:space="preserve">$352 million of adjusted operating income</w:t>
      </w:r>
      <w:r>
        <w:t xml:space="preserve"> </w:t>
      </w:r>
      <w:r>
        <w:t xml:space="preserve">and a</w:t>
      </w:r>
      <w:r>
        <w:t xml:space="preserve"> </w:t>
      </w:r>
      <w:r>
        <w:rPr>
          <w:b/>
          <w:bCs/>
        </w:rPr>
        <w:t xml:space="preserve">14.0% adjusted margin</w:t>
      </w:r>
      <w:r>
        <w:t xml:space="preserve"> </w:t>
      </w:r>
      <w:r>
        <w:t xml:space="preserve">in Q2. Sales increased 4.8%, volume grew 0.4%, and Tyson reported gains in dollar, unit and volume share.</w:t>
      </w:r>
    </w:p>
    <w:p>
      <w:pPr>
        <w:pStyle w:val="BodyText"/>
      </w:pPr>
      <w:r>
        <w:t xml:space="preserve">Strength has been broad across bacon, lunch meat, dinner sausage, snacking and higher-protein breakfast products. The challenge is inflation: commodity meat, packaging, resin and transportation costs have risen, and Prepared Foods raw-material costs were approximately $50 million higher year over year in Q2.</w:t>
      </w:r>
    </w:p>
    <w:p>
      <w:pPr>
        <w:pStyle w:val="BodyText"/>
      </w:pPr>
      <w:r>
        <w:t xml:space="preserve">Management believes pricing is catching up with these costs.</w:t>
      </w:r>
    </w:p>
    <w:p>
      <w:pPr>
        <w:pStyle w:val="BodyText"/>
      </w:pPr>
      <w:r>
        <w:rPr>
          <w:b/>
          <w:bCs/>
        </w:rPr>
        <w:t xml:space="preserve">What investors should watch:</w:t>
      </w:r>
    </w:p>
    <w:p>
      <w:pPr>
        <w:pStyle w:val="Compact"/>
        <w:numPr>
          <w:ilvl w:val="0"/>
          <w:numId w:val="1006"/>
        </w:numPr>
      </w:pPr>
      <w:r>
        <w:t xml:space="preserve">Whether volume remains positive after pricing actions.</w:t>
      </w:r>
    </w:p>
    <w:p>
      <w:pPr>
        <w:pStyle w:val="Compact"/>
        <w:numPr>
          <w:ilvl w:val="0"/>
          <w:numId w:val="1006"/>
        </w:numPr>
      </w:pPr>
      <w:r>
        <w:t xml:space="preserve">Market-share trends in Jimmy Dean, Hillshire Farm, Wright and Aidells.</w:t>
      </w:r>
    </w:p>
    <w:p>
      <w:pPr>
        <w:pStyle w:val="Compact"/>
        <w:numPr>
          <w:ilvl w:val="0"/>
          <w:numId w:val="1006"/>
        </w:numPr>
      </w:pPr>
      <w:r>
        <w:t xml:space="preserve">The balance between pricing, promotional spending and input-cost inflation.</w:t>
      </w:r>
    </w:p>
    <w:p>
      <w:pPr>
        <w:pStyle w:val="Compact"/>
        <w:numPr>
          <w:ilvl w:val="0"/>
          <w:numId w:val="1006"/>
        </w:numPr>
      </w:pPr>
      <w:r>
        <w:t xml:space="preserve">Continued margin performance near the low-to-mid teens.</w:t>
      </w:r>
    </w:p>
    <w:p>
      <w:pPr>
        <w:pStyle w:val="Compact"/>
        <w:numPr>
          <w:ilvl w:val="0"/>
          <w:numId w:val="1006"/>
        </w:numPr>
      </w:pPr>
      <w:r>
        <w:t xml:space="preserve">Distribution and repeat-purchase trends for new high-protein products.</w:t>
      </w:r>
    </w:p>
    <w:p>
      <w:pPr>
        <w:pStyle w:val="FirstParagraph"/>
      </w:pPr>
      <w:r>
        <w:t xml:space="preserve">This segment is central to Tyson’s argument that the stock should receive more credit as a branded-food company rather than being valued solely as a commodity meat processor.</w:t>
      </w:r>
    </w:p>
    <w:p>
      <w:r>
        <w:pict>
          <v:rect style="width:0;height:1.5pt" o:hralign="center" o:hrstd="t" o:hr="t"/>
        </w:pict>
      </w:r>
    </w:p>
    <w:bookmarkEnd w:id="15"/>
    <w:bookmarkStart w:id="16" w:name="Xea17bee1f563245eb7a7194d12a5f86157c5e13"/>
    <w:p>
      <w:pPr>
        <w:pStyle w:val="Heading3"/>
      </w:pPr>
      <w:r>
        <w:t xml:space="preserve">4. Pork: Stable, but guidance requires a better second half</w:t>
      </w:r>
    </w:p>
    <w:p>
      <w:pPr>
        <w:pStyle w:val="FirstParagraph"/>
      </w:pPr>
      <w:r>
        <w:t xml:space="preserve">Pork generated</w:t>
      </w:r>
      <w:r>
        <w:t xml:space="preserve"> </w:t>
      </w:r>
      <w:r>
        <w:rPr>
          <w:b/>
          <w:bCs/>
        </w:rPr>
        <w:t xml:space="preserve">$41 million of adjusted operating income</w:t>
      </w:r>
      <w:r>
        <w:t xml:space="preserve"> </w:t>
      </w:r>
      <w:r>
        <w:t xml:space="preserve">in Q2 and $152 million in the first half. To reach annual guidance of</w:t>
      </w:r>
      <w:r>
        <w:t xml:space="preserve"> </w:t>
      </w:r>
      <m:oMath>
        <m:r>
          <m:t>250</m:t>
        </m:r>
        <m:r>
          <m:t>m</m:t>
        </m:r>
        <m:r>
          <m:t>i</m:t>
        </m:r>
        <m:r>
          <m:t>l</m:t>
        </m:r>
        <m:r>
          <m:t>l</m:t>
        </m:r>
        <m:r>
          <m:t>i</m:t>
        </m:r>
        <m:r>
          <m:t>o</m:t>
        </m:r>
        <m:r>
          <m:t>n</m:t>
        </m:r>
        <m:r>
          <m:rPr>
            <m:sty m:val="p"/>
          </m:rPr>
          <m:t>–</m:t>
        </m:r>
      </m:oMath>
      <w:r>
        <w:t xml:space="preserve">300 million, Tyson needs another</w:t>
      </w:r>
      <w:r>
        <w:t xml:space="preserve"> </w:t>
      </w:r>
      <m:oMath>
        <m:r>
          <m:t>98</m:t>
        </m:r>
        <m:r>
          <m:t>m</m:t>
        </m:r>
        <m:r>
          <m:t>i</m:t>
        </m:r>
        <m:r>
          <m:t>l</m:t>
        </m:r>
        <m:r>
          <m:t>l</m:t>
        </m:r>
        <m:r>
          <m:t>i</m:t>
        </m:r>
        <m:r>
          <m:t>o</m:t>
        </m:r>
        <m:r>
          <m:t>n</m:t>
        </m:r>
        <m:r>
          <m:rPr>
            <m:sty m:val="p"/>
          </m:rPr>
          <m:t>–</m:t>
        </m:r>
      </m:oMath>
      <w:r>
        <w:t xml:space="preserve">148 million in the second half.</w:t>
      </w:r>
    </w:p>
    <w:p>
      <w:pPr>
        <w:pStyle w:val="BodyText"/>
      </w:pPr>
      <w:r>
        <w:t xml:space="preserve">Management previously described the pork market as balanced, with adequate hog supplies and strong demand given pork’s affordability relative to beef. Tyson also expects benefits from using more internally produced pork in Prepared Foods.</w:t>
      </w:r>
    </w:p>
    <w:p>
      <w:pPr>
        <w:pStyle w:val="BodyText"/>
      </w:pPr>
      <w:r>
        <w:rPr>
          <w:b/>
          <w:bCs/>
        </w:rPr>
        <w:t xml:space="preserve">Watch for:</w:t>
      </w:r>
    </w:p>
    <w:p>
      <w:pPr>
        <w:pStyle w:val="Compact"/>
        <w:numPr>
          <w:ilvl w:val="0"/>
          <w:numId w:val="1007"/>
        </w:numPr>
      </w:pPr>
      <w:r>
        <w:t xml:space="preserve">Hog availability following disease and light-farrowing concerns.</w:t>
      </w:r>
    </w:p>
    <w:p>
      <w:pPr>
        <w:pStyle w:val="Compact"/>
        <w:numPr>
          <w:ilvl w:val="0"/>
          <w:numId w:val="1007"/>
        </w:numPr>
      </w:pPr>
      <w:r>
        <w:t xml:space="preserve">Hog-cost inflation and processing spreads.</w:t>
      </w:r>
    </w:p>
    <w:p>
      <w:pPr>
        <w:pStyle w:val="Compact"/>
        <w:numPr>
          <w:ilvl w:val="0"/>
          <w:numId w:val="1007"/>
        </w:numPr>
      </w:pPr>
      <w:r>
        <w:t xml:space="preserve">Utilization and operating expenses.</w:t>
      </w:r>
    </w:p>
    <w:p>
      <w:pPr>
        <w:pStyle w:val="Compact"/>
        <w:numPr>
          <w:ilvl w:val="0"/>
          <w:numId w:val="1007"/>
        </w:numPr>
      </w:pPr>
      <w:r>
        <w:t xml:space="preserve">Continued demand as consumers substitute away from higher-priced beef.</w:t>
      </w:r>
    </w:p>
    <w:p>
      <w:pPr>
        <w:pStyle w:val="FirstParagraph"/>
      </w:pPr>
      <w:r>
        <w:t xml:space="preserve">A guidance reduction here would be more concerning than an isolated quarterly miss because management previously expressed confidence in second-half improvement.</w:t>
      </w:r>
    </w:p>
    <w:p>
      <w:r>
        <w:pict>
          <v:rect style="width:0;height:1.5pt" o:hralign="center" o:hrstd="t" o:hr="t"/>
        </w:pict>
      </w:r>
    </w:p>
    <w:bookmarkEnd w:id="16"/>
    <w:bookmarkStart w:id="17" w:name="Xc9ab8e3b9b2e8056fffe994de834bcf9ecb2638"/>
    <w:p>
      <w:pPr>
        <w:pStyle w:val="Heading3"/>
      </w:pPr>
      <w:r>
        <w:t xml:space="preserve">5. International and corporate costs</w:t>
      </w:r>
    </w:p>
    <w:p>
      <w:pPr>
        <w:pStyle w:val="FirstParagraph"/>
      </w:pPr>
      <w:r>
        <w:t xml:space="preserve">International’s first-half adjusted operating income was $83 million against full-year guidance of</w:t>
      </w:r>
      <w:r>
        <w:t xml:space="preserve"> </w:t>
      </w:r>
      <m:oMath>
        <m:r>
          <m:t>150</m:t>
        </m:r>
        <m:r>
          <m:t>m</m:t>
        </m:r>
        <m:r>
          <m:t>i</m:t>
        </m:r>
        <m:r>
          <m:t>l</m:t>
        </m:r>
        <m:r>
          <m:t>l</m:t>
        </m:r>
        <m:r>
          <m:t>i</m:t>
        </m:r>
        <m:r>
          <m:t>o</m:t>
        </m:r>
        <m:r>
          <m:t>n</m:t>
        </m:r>
        <m:r>
          <m:rPr>
            <m:sty m:val="p"/>
          </m:rPr>
          <m:t>–</m:t>
        </m:r>
      </m:oMath>
      <w:r>
        <w:t xml:space="preserve">200 million. Higher raw-material costs have recently offset operating improvements.</w:t>
      </w:r>
    </w:p>
    <w:p>
      <w:pPr>
        <w:pStyle w:val="BodyText"/>
      </w:pPr>
      <w:r>
        <w:t xml:space="preserve">Corporate expenses and amortization totaled $493 million in the first half, leaving an implied</w:t>
      </w:r>
      <w:r>
        <w:t xml:space="preserve"> </w:t>
      </w:r>
      <m:oMath>
        <m:r>
          <m:t>457</m:t>
        </m:r>
        <m:r>
          <m:t>m</m:t>
        </m:r>
        <m:r>
          <m:t>i</m:t>
        </m:r>
        <m:r>
          <m:t>l</m:t>
        </m:r>
        <m:r>
          <m:t>l</m:t>
        </m:r>
        <m:r>
          <m:t>i</m:t>
        </m:r>
        <m:r>
          <m:t>o</m:t>
        </m:r>
        <m:r>
          <m:t>n</m:t>
        </m:r>
        <m:r>
          <m:rPr>
            <m:sty m:val="p"/>
          </m:rPr>
          <m:t>–</m:t>
        </m:r>
      </m:oMath>
      <w:r>
        <w:t xml:space="preserve">482 million for the second half. Investors should monitor technology spending, restructuring charges and the pace of support-cost reductions.</w:t>
      </w:r>
    </w:p>
    <w:p>
      <w:r>
        <w:pict>
          <v:rect style="width:0;height:1.5pt" o:hralign="center" o:hrstd="t" o:hr="t"/>
        </w:pict>
      </w:r>
    </w:p>
    <w:bookmarkEnd w:id="17"/>
    <w:bookmarkEnd w:id="18"/>
    <w:bookmarkStart w:id="19" w:name="X238c9428c412ff765c02972bd5c0ebc65a51dea"/>
    <w:p>
      <w:pPr>
        <w:pStyle w:val="Heading2"/>
      </w:pPr>
      <w:r>
        <w:t xml:space="preserve">Cash flow, balance sheet and capital returns</w:t>
      </w:r>
    </w:p>
    <w:p>
      <w:pPr>
        <w:pStyle w:val="FirstParagraph"/>
      </w:pPr>
      <w:r>
        <w:t xml:space="preserve">Tyson ended Q2 with:</w:t>
      </w:r>
    </w:p>
    <w:p>
      <w:pPr>
        <w:pStyle w:val="Compact"/>
        <w:numPr>
          <w:ilvl w:val="0"/>
          <w:numId w:val="1008"/>
        </w:numPr>
      </w:pPr>
      <w:r>
        <w:rPr>
          <w:b/>
          <w:bCs/>
        </w:rPr>
        <w:t xml:space="preserve">$3.7 billion of liquidity</w:t>
      </w:r>
    </w:p>
    <w:p>
      <w:pPr>
        <w:pStyle w:val="Compact"/>
        <w:numPr>
          <w:ilvl w:val="0"/>
          <w:numId w:val="1008"/>
        </w:numPr>
      </w:pPr>
      <w:r>
        <w:rPr>
          <w:b/>
          <w:bCs/>
        </w:rPr>
        <w:t xml:space="preserve">2.2× net debt to adjusted EBITDA</w:t>
      </w:r>
    </w:p>
    <w:p>
      <w:pPr>
        <w:pStyle w:val="Compact"/>
        <w:numPr>
          <w:ilvl w:val="0"/>
          <w:numId w:val="1008"/>
        </w:numPr>
      </w:pPr>
      <w:r>
        <w:rPr>
          <w:b/>
          <w:bCs/>
        </w:rPr>
        <w:t xml:space="preserve">$432 million of first-half free cash flow</w:t>
      </w:r>
    </w:p>
    <w:p>
      <w:pPr>
        <w:pStyle w:val="Compact"/>
        <w:numPr>
          <w:ilvl w:val="0"/>
          <w:numId w:val="1008"/>
        </w:numPr>
      </w:pPr>
      <w:r>
        <w:t xml:space="preserve">Nearly</w:t>
      </w:r>
      <w:r>
        <w:t xml:space="preserve"> </w:t>
      </w:r>
      <w:r>
        <w:rPr>
          <w:b/>
          <w:bCs/>
        </w:rPr>
        <w:t xml:space="preserve">$1 billion of gross-debt reduction</w:t>
      </w:r>
      <w:r>
        <w:t xml:space="preserve"> </w:t>
      </w:r>
      <w:r>
        <w:t xml:space="preserve">over the preceding 12 months</w:t>
      </w:r>
    </w:p>
    <w:p>
      <w:pPr>
        <w:pStyle w:val="Compact"/>
        <w:numPr>
          <w:ilvl w:val="0"/>
          <w:numId w:val="1008"/>
        </w:numPr>
      </w:pPr>
      <w:r>
        <w:rPr>
          <w:b/>
          <w:bCs/>
        </w:rPr>
        <w:t xml:space="preserve">$445 million returned to shareholders</w:t>
      </w:r>
      <w:r>
        <w:t xml:space="preserve"> </w:t>
      </w:r>
      <w:r>
        <w:t xml:space="preserve">through dividends and repurchases in the first half</w:t>
      </w:r>
    </w:p>
    <w:p>
      <w:pPr>
        <w:pStyle w:val="FirstParagraph"/>
      </w:pPr>
      <w:r>
        <w:t xml:space="preserve">The full-year free-cash-flow range of</w:t>
      </w:r>
      <w:r>
        <w:t xml:space="preserve"> </w:t>
      </w:r>
      <m:oMath>
        <m:r>
          <m:t>1.2</m:t>
        </m:r>
        <m:r>
          <m:t>b</m:t>
        </m:r>
        <m:r>
          <m:t>i</m:t>
        </m:r>
        <m:r>
          <m:t>l</m:t>
        </m:r>
        <m:r>
          <m:t>l</m:t>
        </m:r>
        <m:r>
          <m:t>i</m:t>
        </m:r>
        <m:r>
          <m:t>o</m:t>
        </m:r>
        <m:r>
          <m:t>n</m:t>
        </m:r>
        <m:r>
          <m:rPr>
            <m:sty m:val="p"/>
          </m:rPr>
          <m:t>–</m:t>
        </m:r>
      </m:oMath>
      <w:r>
        <w:t xml:space="preserve">1.8 billion is wide. The Q3 cash-flow statement should help determine whether the upper half is realistic.</w:t>
      </w:r>
    </w:p>
    <w:p>
      <w:pPr>
        <w:pStyle w:val="BodyText"/>
      </w:pPr>
      <w:r>
        <w:t xml:space="preserve">Key items include:</w:t>
      </w:r>
    </w:p>
    <w:p>
      <w:pPr>
        <w:pStyle w:val="Compact"/>
        <w:numPr>
          <w:ilvl w:val="0"/>
          <w:numId w:val="1009"/>
        </w:numPr>
      </w:pPr>
      <w:r>
        <w:t xml:space="preserve">Working-capital movement, particularly inventories and legal payments.</w:t>
      </w:r>
    </w:p>
    <w:p>
      <w:pPr>
        <w:pStyle w:val="Compact"/>
        <w:numPr>
          <w:ilvl w:val="0"/>
          <w:numId w:val="1009"/>
        </w:numPr>
      </w:pPr>
      <w:r>
        <w:t xml:space="preserve">Capital spending relative to the</w:t>
      </w:r>
      <w:r>
        <w:t xml:space="preserve"> </w:t>
      </w:r>
      <m:oMath>
        <m:r>
          <m:t>700</m:t>
        </m:r>
        <m:r>
          <m:t>m</m:t>
        </m:r>
        <m:r>
          <m:t>i</m:t>
        </m:r>
        <m:r>
          <m:t>l</m:t>
        </m:r>
        <m:r>
          <m:t>l</m:t>
        </m:r>
        <m:r>
          <m:t>i</m:t>
        </m:r>
        <m:r>
          <m:t>o</m:t>
        </m:r>
        <m:r>
          <m:t>n</m:t>
        </m:r>
        <m:r>
          <m:rPr>
            <m:sty m:val="p"/>
          </m:rPr>
          <m:t>–</m:t>
        </m:r>
      </m:oMath>
      <w:r>
        <w:t xml:space="preserve">1.0 billion plan.</w:t>
      </w:r>
    </w:p>
    <w:p>
      <w:pPr>
        <w:pStyle w:val="Compact"/>
        <w:numPr>
          <w:ilvl w:val="0"/>
          <w:numId w:val="1009"/>
        </w:numPr>
      </w:pPr>
      <w:r>
        <w:t xml:space="preserve">Additional debt reduction.</w:t>
      </w:r>
    </w:p>
    <w:p>
      <w:pPr>
        <w:pStyle w:val="Compact"/>
        <w:numPr>
          <w:ilvl w:val="0"/>
          <w:numId w:val="1009"/>
        </w:numPr>
      </w:pPr>
      <w:r>
        <w:t xml:space="preserve">The pace of buybacks versus dividend and balance-sheet priorities.</w:t>
      </w:r>
    </w:p>
    <w:p>
      <w:pPr>
        <w:pStyle w:val="FirstParagraph"/>
      </w:pPr>
      <w:r>
        <w:t xml:space="preserve">A solid earnings result paired with weak cash conversion would reduce the quality of the report.</w:t>
      </w:r>
    </w:p>
    <w:p>
      <w:r>
        <w:pict>
          <v:rect style="width:0;height:1.5pt" o:hralign="center" o:hrstd="t" o:hr="t"/>
        </w:pict>
      </w:r>
    </w:p>
    <w:bookmarkEnd w:id="19"/>
    <w:bookmarkStart w:id="20" w:name="Xa09975d46f22f81bdd69d49ac5d6812d74d8e9f"/>
    <w:p>
      <w:pPr>
        <w:pStyle w:val="Heading2"/>
      </w:pPr>
      <w:r>
        <w:t xml:space="preserve">Management transition is a secondary watch item</w:t>
      </w:r>
    </w:p>
    <w:p>
      <w:pPr>
        <w:pStyle w:val="FirstParagraph"/>
      </w:pPr>
      <w:r>
        <w:t xml:space="preserve">Wes Morris became chief operating officer on June 15, replacing Devin Cole shortly before the quarter ended. Cole subsequently departed under a separation agreement that included a $10.6 million cash payment.</w:t>
      </w:r>
    </w:p>
    <w:p>
      <w:pPr>
        <w:pStyle w:val="BodyText"/>
      </w:pPr>
      <w:r>
        <w:t xml:space="preserve">Because the transition occurred near quarter-end, it should have little bearing on reported Q3 operations. Nevertheless, investors should listen for:</w:t>
      </w:r>
    </w:p>
    <w:p>
      <w:pPr>
        <w:pStyle w:val="Compact"/>
        <w:numPr>
          <w:ilvl w:val="0"/>
          <w:numId w:val="1010"/>
        </w:numPr>
      </w:pPr>
      <w:r>
        <w:t xml:space="preserve">Continuity in the Chicken and Prepared Foods improvement programs.</w:t>
      </w:r>
    </w:p>
    <w:p>
      <w:pPr>
        <w:pStyle w:val="Compact"/>
        <w:numPr>
          <w:ilvl w:val="0"/>
          <w:numId w:val="1010"/>
        </w:numPr>
      </w:pPr>
      <w:r>
        <w:t xml:space="preserve">Any changes to network optimization or segment accountability.</w:t>
      </w:r>
    </w:p>
    <w:p>
      <w:pPr>
        <w:pStyle w:val="Compact"/>
        <w:numPr>
          <w:ilvl w:val="0"/>
          <w:numId w:val="1010"/>
        </w:numPr>
      </w:pPr>
      <w:r>
        <w:t xml:space="preserve">Whether the leadership transition affects the timing of cost reductions.</w:t>
      </w:r>
    </w:p>
    <w:p>
      <w:pPr>
        <w:pStyle w:val="Compact"/>
        <w:numPr>
          <w:ilvl w:val="0"/>
          <w:numId w:val="1010"/>
        </w:numPr>
      </w:pPr>
      <w:r>
        <w:t xml:space="preserve">How management explains the abrupt change following a strong operating quarter.</w:t>
      </w:r>
    </w:p>
    <w:p>
      <w:r>
        <w:pict>
          <v:rect style="width:0;height:1.5pt" o:hralign="center" o:hrstd="t" o:hr="t"/>
        </w:pict>
      </w:r>
    </w:p>
    <w:bookmarkEnd w:id="20"/>
    <w:bookmarkStart w:id="21" w:name="stock-setup"/>
    <w:p>
      <w:pPr>
        <w:pStyle w:val="Heading2"/>
      </w:pPr>
      <w:r>
        <w:t xml:space="preserve">Stock setup</w:t>
      </w:r>
    </w:p>
    <w:p>
      <w:pPr>
        <w:pStyle w:val="FirstParagraph"/>
      </w:pPr>
      <w:r>
        <w:t xml:space="preserve">TSN closed July 31 at approximately</w:t>
      </w:r>
      <w:r>
        <w:t xml:space="preserve"> </w:t>
      </w:r>
      <w:r>
        <w:rPr>
          <w:b/>
          <w:bCs/>
        </w:rPr>
        <w:t xml:space="preserve">$57.98</w:t>
      </w:r>
      <w:r>
        <w:t xml:space="preserve">:</w:t>
      </w:r>
    </w:p>
    <w:p>
      <w:pPr>
        <w:pStyle w:val="Compact"/>
        <w:numPr>
          <w:ilvl w:val="0"/>
          <w:numId w:val="1011"/>
        </w:numPr>
      </w:pPr>
      <w:r>
        <w:t xml:space="preserve">Up about</w:t>
      </w:r>
      <w:r>
        <w:t xml:space="preserve"> </w:t>
      </w:r>
      <w:r>
        <w:rPr>
          <w:b/>
          <w:bCs/>
        </w:rPr>
        <w:t xml:space="preserve">10%</w:t>
      </w:r>
      <w:r>
        <w:t xml:space="preserve"> </w:t>
      </w:r>
      <w:r>
        <w:t xml:space="preserve">from one year earlier.</w:t>
      </w:r>
    </w:p>
    <w:p>
      <w:pPr>
        <w:pStyle w:val="Compact"/>
        <w:numPr>
          <w:ilvl w:val="0"/>
          <w:numId w:val="1011"/>
        </w:numPr>
      </w:pPr>
      <w:r>
        <w:t xml:space="preserve">Roughly</w:t>
      </w:r>
      <w:r>
        <w:t xml:space="preserve"> </w:t>
      </w:r>
      <w:r>
        <w:rPr>
          <w:b/>
          <w:bCs/>
        </w:rPr>
        <w:t xml:space="preserve">1% below</w:t>
      </w:r>
      <w:r>
        <w:t xml:space="preserve"> </w:t>
      </w:r>
      <w:r>
        <w:t xml:space="preserve">its 2025 year-end close.</w:t>
      </w:r>
    </w:p>
    <w:p>
      <w:pPr>
        <w:pStyle w:val="Compact"/>
        <w:numPr>
          <w:ilvl w:val="0"/>
          <w:numId w:val="1011"/>
        </w:numPr>
      </w:pPr>
      <w:r>
        <w:t xml:space="preserve">About</w:t>
      </w:r>
      <w:r>
        <w:t xml:space="preserve"> </w:t>
      </w:r>
      <w:r>
        <w:rPr>
          <w:b/>
          <w:bCs/>
        </w:rPr>
        <w:t xml:space="preserve">16% below</w:t>
      </w:r>
      <w:r>
        <w:t xml:space="preserve"> </w:t>
      </w:r>
      <w:r>
        <w:t xml:space="preserve">the $68.75 close following the fiscal Q2 report.</w:t>
      </w:r>
    </w:p>
    <w:p>
      <w:pPr>
        <w:pStyle w:val="FirstParagraph"/>
      </w:pPr>
      <w:r>
        <w:t xml:space="preserve">The stock recently rallied on the Mexican cattle-import announcement but gave back much of that move before earnings. This creates a mixed setup: expectations are not as elevated as they were immediately after Q2, but investors are already aware of the potential future benefit from improved cattle availability.</w:t>
      </w:r>
    </w:p>
    <w:p>
      <w:r>
        <w:pict>
          <v:rect style="width:0;height:1.5pt" o:hralign="center" o:hrstd="t" o:hr="t"/>
        </w:pict>
      </w:r>
    </w:p>
    <w:bookmarkEnd w:id="21"/>
    <w:bookmarkStart w:id="22" w:name="what-would-constitute-a-strong-report"/>
    <w:p>
      <w:pPr>
        <w:pStyle w:val="Heading2"/>
      </w:pPr>
      <w:r>
        <w:t xml:space="preserve">What would constitute a strong report?</w:t>
      </w:r>
    </w:p>
    <w:p>
      <w:pPr>
        <w:pStyle w:val="FirstParagraph"/>
      </w:pPr>
      <w:r>
        <w:t xml:space="preserve">A constructive result would likely include most of the following:</w:t>
      </w:r>
    </w:p>
    <w:p>
      <w:pPr>
        <w:pStyle w:val="Compact"/>
        <w:numPr>
          <w:ilvl w:val="0"/>
          <w:numId w:val="1012"/>
        </w:numPr>
      </w:pPr>
      <w:r>
        <w:t xml:space="preserve">Adjusted EPS above $0.99, with the beat driven by segment operations rather than tax or other non-operating items.</w:t>
      </w:r>
    </w:p>
    <w:p>
      <w:pPr>
        <w:pStyle w:val="Compact"/>
        <w:numPr>
          <w:ilvl w:val="0"/>
          <w:numId w:val="1012"/>
        </w:numPr>
      </w:pPr>
      <w:r>
        <w:t xml:space="preserve">Chicken margins holding near double digits.</w:t>
      </w:r>
    </w:p>
    <w:p>
      <w:pPr>
        <w:pStyle w:val="Compact"/>
        <w:numPr>
          <w:ilvl w:val="0"/>
          <w:numId w:val="1012"/>
        </w:numPr>
      </w:pPr>
      <w:r>
        <w:t xml:space="preserve">Chicken guidance maintained at the upper half or raised.</w:t>
      </w:r>
    </w:p>
    <w:p>
      <w:pPr>
        <w:pStyle w:val="Compact"/>
        <w:numPr>
          <w:ilvl w:val="0"/>
          <w:numId w:val="1012"/>
        </w:numPr>
      </w:pPr>
      <w:r>
        <w:t xml:space="preserve">A meaningful sequential reduction in Beef losses.</w:t>
      </w:r>
    </w:p>
    <w:p>
      <w:pPr>
        <w:pStyle w:val="Compact"/>
        <w:numPr>
          <w:ilvl w:val="0"/>
          <w:numId w:val="1012"/>
        </w:numPr>
      </w:pPr>
      <w:r>
        <w:t xml:space="preserve">Full-year adjusted operating-income guidance raised or narrowed toward $2.4 billion.</w:t>
      </w:r>
    </w:p>
    <w:p>
      <w:pPr>
        <w:pStyle w:val="Compact"/>
        <w:numPr>
          <w:ilvl w:val="0"/>
          <w:numId w:val="1012"/>
        </w:numPr>
      </w:pPr>
      <w:r>
        <w:t xml:space="preserve">Prepared Foods volume growth alongside stable margins.</w:t>
      </w:r>
    </w:p>
    <w:p>
      <w:pPr>
        <w:pStyle w:val="Compact"/>
        <w:numPr>
          <w:ilvl w:val="0"/>
          <w:numId w:val="1012"/>
        </w:numPr>
      </w:pPr>
      <w:r>
        <w:t xml:space="preserve">Confidence in</w:t>
      </w:r>
      <w:r>
        <w:t xml:space="preserve"> </w:t>
      </w:r>
      <m:oMath>
        <m:r>
          <m:t>1.2</m:t>
        </m:r>
        <m:r>
          <m:t>b</m:t>
        </m:r>
        <m:r>
          <m:t>i</m:t>
        </m:r>
        <m:r>
          <m:t>l</m:t>
        </m:r>
        <m:r>
          <m:t>l</m:t>
        </m:r>
        <m:r>
          <m:t>i</m:t>
        </m:r>
        <m:r>
          <m:t>o</m:t>
        </m:r>
        <m:r>
          <m:t>n</m:t>
        </m:r>
        <m:r>
          <m:rPr>
            <m:sty m:val="p"/>
          </m:rPr>
          <m:t>–</m:t>
        </m:r>
      </m:oMath>
      <w:r>
        <w:t xml:space="preserve">1.8 billion of free cash flow.</w:t>
      </w:r>
    </w:p>
    <w:p>
      <w:pPr>
        <w:pStyle w:val="Compact"/>
        <w:numPr>
          <w:ilvl w:val="0"/>
          <w:numId w:val="1012"/>
        </w:numPr>
      </w:pPr>
      <w:r>
        <w:t xml:space="preserve">No material deterioration in Pork guidance.</w:t>
      </w:r>
    </w:p>
    <w:bookmarkEnd w:id="22"/>
    <w:bookmarkStart w:id="23" w:name="what-could-disappoint"/>
    <w:p>
      <w:pPr>
        <w:pStyle w:val="Heading2"/>
      </w:pPr>
      <w:r>
        <w:t xml:space="preserve">What could disappoint?</w:t>
      </w:r>
    </w:p>
    <w:p>
      <w:pPr>
        <w:pStyle w:val="Compact"/>
        <w:numPr>
          <w:ilvl w:val="0"/>
          <w:numId w:val="1013"/>
        </w:numPr>
      </w:pPr>
      <w:r>
        <w:t xml:space="preserve">A headline EPS beat accompanied by weaker Beef or Chicken guidance.</w:t>
      </w:r>
    </w:p>
    <w:p>
      <w:pPr>
        <w:pStyle w:val="Compact"/>
        <w:numPr>
          <w:ilvl w:val="0"/>
          <w:numId w:val="1013"/>
        </w:numPr>
      </w:pPr>
      <w:r>
        <w:t xml:space="preserve">Chicken profitability reverting toward commodity-industry levels.</w:t>
      </w:r>
    </w:p>
    <w:p>
      <w:pPr>
        <w:pStyle w:val="Compact"/>
        <w:numPr>
          <w:ilvl w:val="0"/>
          <w:numId w:val="1013"/>
        </w:numPr>
      </w:pPr>
      <w:r>
        <w:t xml:space="preserve">Prepared Foods pricing causing renewed volume declines.</w:t>
      </w:r>
    </w:p>
    <w:p>
      <w:pPr>
        <w:pStyle w:val="Compact"/>
        <w:numPr>
          <w:ilvl w:val="0"/>
          <w:numId w:val="1013"/>
        </w:numPr>
      </w:pPr>
      <w:r>
        <w:t xml:space="preserve">Beef losses remaining near Q2 levels.</w:t>
      </w:r>
    </w:p>
    <w:p>
      <w:pPr>
        <w:pStyle w:val="Compact"/>
        <w:numPr>
          <w:ilvl w:val="0"/>
          <w:numId w:val="1013"/>
        </w:numPr>
      </w:pPr>
      <w:r>
        <w:t xml:space="preserve">A reduction in the</w:t>
      </w:r>
      <w:r>
        <w:t xml:space="preserve"> </w:t>
      </w:r>
      <m:oMath>
        <m:r>
          <m:t>2.2</m:t>
        </m:r>
        <m:r>
          <m:t>b</m:t>
        </m:r>
        <m:r>
          <m:t>i</m:t>
        </m:r>
        <m:r>
          <m:t>l</m:t>
        </m:r>
        <m:r>
          <m:t>l</m:t>
        </m:r>
        <m:r>
          <m:t>i</m:t>
        </m:r>
        <m:r>
          <m:t>o</m:t>
        </m:r>
        <m:r>
          <m:t>n</m:t>
        </m:r>
        <m:r>
          <m:rPr>
            <m:sty m:val="p"/>
          </m:rPr>
          <m:t>–</m:t>
        </m:r>
      </m:oMath>
      <w:r>
        <w:t xml:space="preserve">2.4 billion company outlook.</w:t>
      </w:r>
    </w:p>
    <w:p>
      <w:pPr>
        <w:pStyle w:val="Compact"/>
        <w:numPr>
          <w:ilvl w:val="0"/>
          <w:numId w:val="1013"/>
        </w:numPr>
      </w:pPr>
      <w:r>
        <w:t xml:space="preserve">Weak cash conversion or a renewed increase in leverage.</w:t>
      </w:r>
    </w:p>
    <w:p>
      <w:pPr>
        <w:pStyle w:val="Compact"/>
        <w:numPr>
          <w:ilvl w:val="0"/>
          <w:numId w:val="1013"/>
        </w:numPr>
      </w:pPr>
      <w:r>
        <w:t xml:space="preserve">Management attributing Q2’s Chicken strength to temporary factors after previously describing it as structural.</w:t>
      </w:r>
    </w:p>
    <w:p>
      <w:r>
        <w:pict>
          <v:rect style="width:0;height:1.5pt" o:hralign="center" o:hrstd="t" o:hr="t"/>
        </w:pict>
      </w:r>
    </w:p>
    <w:bookmarkEnd w:id="23"/>
    <w:bookmarkStart w:id="24" w:name="bottom-line"/>
    <w:p>
      <w:pPr>
        <w:pStyle w:val="Heading2"/>
      </w:pPr>
      <w:r>
        <w:t xml:space="preserve">Bottom line</w:t>
      </w:r>
    </w:p>
    <w:p>
      <w:pPr>
        <w:pStyle w:val="FirstParagraph"/>
      </w:pPr>
      <w:r>
        <w:rPr>
          <w:b/>
          <w:bCs/>
        </w:rPr>
        <w:t xml:space="preserve">The central debate is whether Chicken’s structural improvement can more than offset a still-severe Beef cycle.</w:t>
      </w:r>
    </w:p>
    <w:p>
      <w:pPr>
        <w:pStyle w:val="BodyText"/>
      </w:pPr>
      <w:r>
        <w:t xml:space="preserve">Tyson’s Q2 commentary set a relatively high operational bar: management said Chicken’s momentum was sustainable, expected the second half to match or exceed the first and projected substantially smaller Beef losses. Q3 is the first major test of those assertions.</w:t>
      </w:r>
    </w:p>
    <w:p>
      <w:pPr>
        <w:pStyle w:val="BodyText"/>
      </w:pPr>
      <w:r>
        <w:t xml:space="preserve">The most important figure may not be adjusted EPS. Investors should focus on:</w:t>
      </w:r>
    </w:p>
    <w:p>
      <w:pPr>
        <w:pStyle w:val="Compact"/>
        <w:numPr>
          <w:ilvl w:val="0"/>
          <w:numId w:val="1014"/>
        </w:numPr>
      </w:pPr>
      <w:r>
        <w:rPr>
          <w:b/>
          <w:bCs/>
        </w:rPr>
        <w:t xml:space="preserve">The sequential Beef loss</w:t>
      </w:r>
    </w:p>
    <w:p>
      <w:pPr>
        <w:pStyle w:val="Compact"/>
        <w:numPr>
          <w:ilvl w:val="0"/>
          <w:numId w:val="1014"/>
        </w:numPr>
      </w:pPr>
      <w:r>
        <w:rPr>
          <w:b/>
          <w:bCs/>
        </w:rPr>
        <w:t xml:space="preserve">Chicken margin and guidance</w:t>
      </w:r>
    </w:p>
    <w:p>
      <w:pPr>
        <w:pStyle w:val="Compact"/>
        <w:numPr>
          <w:ilvl w:val="0"/>
          <w:numId w:val="1014"/>
        </w:numPr>
      </w:pPr>
      <w:r>
        <w:rPr>
          <w:b/>
          <w:bCs/>
        </w:rPr>
        <w:t xml:space="preserve">The direction of total-company adjusted operating-income guidance</w:t>
      </w:r>
    </w:p>
    <w:p>
      <w:pPr>
        <w:pStyle w:val="Compact"/>
        <w:numPr>
          <w:ilvl w:val="0"/>
          <w:numId w:val="1014"/>
        </w:numPr>
      </w:pPr>
      <w:r>
        <w:rPr>
          <w:b/>
          <w:bCs/>
        </w:rPr>
        <w:t xml:space="preserve">Free-cash-flow conversion</w:t>
      </w:r>
    </w:p>
    <w:p>
      <w:pPr>
        <w:pStyle w:val="FirstParagraph"/>
      </w:pPr>
      <w:r>
        <w:t xml:space="preserve">If those four items are favorable, Tyson can strengthen the case that its earnings mix and valuation deserve a durable re-rating. If Beef fails to improve or Chicken begins to normalize, the market may continue treating TSN as a cyclical meat processor rather than a structurally improved, diversified protein company.</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2026-08-03T00:05:40Z</dcterms:created>
  <dcterms:modified xsi:type="dcterms:W3CDTF">2026-08-03T00:05:40Z</dcterms:modified>
</cp:coreProperties>
</file>

<file path=docProps/custom.xml><?xml version="1.0" encoding="utf-8"?>
<Properties xmlns="http://schemas.openxmlformats.org/officeDocument/2006/custom-properties" xmlns:vt="http://schemas.openxmlformats.org/officeDocument/2006/docPropsVTypes"/>
</file>