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c5abb34f2a9907dee7d9bf10d58c9dcf1a9be2"/>
    <w:p>
      <w:pPr>
        <w:pStyle w:val="Heading1"/>
      </w:pPr>
      <w:r>
        <w:t xml:space="preserve">Tyson Foods (NYSE: TSN) — Fiscal 3Q26 Earnings Preview</w:t>
      </w:r>
    </w:p>
    <w:p>
      <w:pPr>
        <w:pStyle w:val="FirstParagraph"/>
      </w:pPr>
      <w:r>
        <w:rPr>
          <w:b/>
          <w:bCs/>
        </w:rPr>
        <w:t xml:space="preserve">Report date:</w:t>
      </w:r>
      <w:r>
        <w:t xml:space="preserve"> </w:t>
      </w:r>
      <w:r>
        <w:t xml:space="preserve">Monday,</w:t>
      </w:r>
      <w:r>
        <w:t xml:space="preserve"> </w:t>
      </w:r>
      <w:r>
        <w:rPr>
          <w:b/>
          <w:bCs/>
        </w:rPr>
        <w:t xml:space="preserve">August 3, 2026</w:t>
      </w:r>
      <w:r>
        <w:t xml:space="preserve">, before the U.S. market open</w:t>
      </w:r>
      <w:r>
        <w:br/>
      </w:r>
      <w:r>
        <w:rPr>
          <w:b/>
          <w:bCs/>
        </w:rPr>
        <w:t xml:space="preserve">Event:</w:t>
      </w:r>
      <w:r>
        <w:t xml:space="preserve"> </w:t>
      </w:r>
      <w:r>
        <w:t xml:space="preserve">Fiscal 2026 Q3 earnings call</w:t>
      </w:r>
      <w:r>
        <w:br/>
      </w:r>
      <w:r>
        <w:rPr>
          <w:b/>
          <w:bCs/>
        </w:rPr>
        <w:t xml:space="preserve">Core question:</w:t>
      </w:r>
      <w:r>
        <w:t xml:space="preserve"> </w:t>
      </w:r>
      <w:r>
        <w:t xml:space="preserve">Can Tyson’s Chicken and Prepared Foods strength continue to more than offset the still-punishing Beef cycle—and does management sustain or raise its fiscal-2026 outlook?</w:t>
      </w:r>
    </w:p>
    <w:bookmarkStart w:id="9" w:name="Xa021f8c2da4b002e64423852c45b7889f143243"/>
    <w:p>
      <w:pPr>
        <w:pStyle w:val="Heading2"/>
      </w:pPr>
      <w:r>
        <w:t xml:space="preserve">Setup: expectations are constructive, but the bar is rising</w:t>
      </w:r>
    </w:p>
    <w:p>
      <w:pPr>
        <w:pStyle w:val="FirstParagraph"/>
      </w:pPr>
      <w:r>
        <w:t xml:space="preserve">The Street is looking for approximately</w:t>
      </w:r>
      <w:r>
        <w:t xml:space="preserve"> </w:t>
      </w:r>
      <m:oMath>
        <m:r>
          <m:t>14.1</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0.99 of adjusted EPS</w:t>
      </w:r>
      <w:r>
        <w:t xml:space="preserve">. That would imply modest sales growth versus fiscal 3Q25 revenue of</w:t>
      </w:r>
      <w:r>
        <w:t xml:space="preserve"> </w:t>
      </w:r>
      <m:oMath>
        <m:r>
          <m:t>13.88</m:t>
        </m:r>
        <m:r>
          <m:t>b</m:t>
        </m:r>
        <m:r>
          <m:t>i</m:t>
        </m:r>
        <m:r>
          <m:t>l</m:t>
        </m:r>
        <m:r>
          <m:t>l</m:t>
        </m:r>
        <m:r>
          <m:t>i</m:t>
        </m:r>
        <m:r>
          <m:t>o</m:t>
        </m:r>
        <m:r>
          <m:t>n</m:t>
        </m:r>
        <m:r>
          <m:rPr>
            <m:sty m:val="p"/>
          </m:rPr>
          <m:t>*</m:t>
        </m:r>
        <m:r>
          <m:rPr>
            <m:sty m:val="p"/>
          </m:rPr>
          <m:t>*</m:t>
        </m:r>
        <m:r>
          <m:t>a</m:t>
        </m:r>
        <m:r>
          <m:t>n</m:t>
        </m:r>
        <m:r>
          <m:t>d</m:t>
        </m:r>
        <m:r>
          <m:t>r</m:t>
        </m:r>
        <m:r>
          <m:t>o</m:t>
        </m:r>
        <m:r>
          <m:t>u</m:t>
        </m:r>
        <m:r>
          <m:t>g</m:t>
        </m:r>
        <m:r>
          <m:t>h</m:t>
        </m:r>
        <m:r>
          <m:t>l</m:t>
        </m:r>
        <m:r>
          <m:t>y</m:t>
        </m:r>
        <m:r>
          <m:rPr>
            <m:sty m:val="p"/>
          </m:rPr>
          <m:t>*</m:t>
        </m:r>
        <m:r>
          <m:rPr>
            <m:sty m:val="p"/>
          </m:rPr>
          <m:t>*</m:t>
        </m:r>
        <m:r>
          <m:t>9</m:t>
        </m:r>
      </m:oMath>
      <w:r>
        <w:rPr>
          <w:b/>
          <w:bCs/>
        </w:rPr>
        <w:t xml:space="preserve">0.91</w:t>
      </w:r>
      <w:r>
        <w:t xml:space="preserve">.</w:t>
      </w:r>
    </w:p>
    <w:p>
      <w:pPr>
        <w:pStyle w:val="BodyText"/>
      </w:pPr>
      <w:r>
        <w:t xml:space="preserve">The headline setup is mixed:</w:t>
      </w:r>
    </w:p>
    <w:p>
      <w:pPr>
        <w:pStyle w:val="Compact"/>
        <w:numPr>
          <w:ilvl w:val="0"/>
          <w:numId w:val="1001"/>
        </w:numPr>
      </w:pPr>
      <w:r>
        <w:rPr>
          <w:b/>
          <w:bCs/>
        </w:rPr>
        <w:t xml:space="preserve">Fundamentals:</w:t>
      </w:r>
      <w:r>
        <w:t xml:space="preserve"> </w:t>
      </w:r>
      <w:r>
        <w:t xml:space="preserve">Chicken and Prepared Foods have been executing well, with share gains, volume growth, and stronger operating discipline.</w:t>
      </w:r>
    </w:p>
    <w:p>
      <w:pPr>
        <w:pStyle w:val="Compact"/>
        <w:numPr>
          <w:ilvl w:val="0"/>
          <w:numId w:val="1001"/>
        </w:numPr>
      </w:pPr>
      <w:r>
        <w:rPr>
          <w:b/>
          <w:bCs/>
        </w:rPr>
        <w:t xml:space="preserve">Main offset:</w:t>
      </w:r>
      <w:r>
        <w:t xml:space="preserve"> </w:t>
      </w:r>
      <w:r>
        <w:t xml:space="preserve">Beef remains structurally challenged by tight cattle availability and elevated live-cattle costs.</w:t>
      </w:r>
    </w:p>
    <w:p>
      <w:pPr>
        <w:pStyle w:val="Compact"/>
        <w:numPr>
          <w:ilvl w:val="0"/>
          <w:numId w:val="1001"/>
        </w:numPr>
      </w:pPr>
      <w:r>
        <w:rPr>
          <w:b/>
          <w:bCs/>
        </w:rPr>
        <w:t xml:space="preserve">Positioning:</w:t>
      </w:r>
      <w:r>
        <w:t xml:space="preserve"> </w:t>
      </w:r>
      <w:r>
        <w:t xml:space="preserve">TSN closed July 31 at</w:t>
      </w:r>
      <w:r>
        <w:t xml:space="preserve"> </w:t>
      </w:r>
      <w:r>
        <w:rPr>
          <w:b/>
          <w:bCs/>
        </w:rPr>
        <w:t xml:space="preserve">$57.98</w:t>
      </w:r>
      <w:r>
        <w:t xml:space="preserve">, down about</w:t>
      </w:r>
      <w:r>
        <w:t xml:space="preserve"> </w:t>
      </w:r>
      <w:r>
        <w:rPr>
          <w:b/>
          <w:bCs/>
        </w:rPr>
        <w:t xml:space="preserve">15.7%</w:t>
      </w:r>
      <w:r>
        <w:t xml:space="preserve"> </w:t>
      </w:r>
      <w:r>
        <w:t xml:space="preserve">from its May 4 close following fiscal Q2 earnings. The stock rallied sharply on July 27 after the USDA’s announcement that Mexican cattle shipments would resume, but gave back much of that move by week-end.</w:t>
      </w:r>
    </w:p>
    <w:p>
      <w:pPr>
        <w:pStyle w:val="Compact"/>
        <w:numPr>
          <w:ilvl w:val="0"/>
          <w:numId w:val="1001"/>
        </w:numPr>
      </w:pPr>
      <w:r>
        <w:rPr>
          <w:b/>
          <w:bCs/>
        </w:rPr>
        <w:t xml:space="preserve">Implication:</w:t>
      </w:r>
      <w:r>
        <w:t xml:space="preserve"> </w:t>
      </w:r>
      <w:r>
        <w:t xml:space="preserve">A simple EPS beat may not be enough. Investors are likely to focus more heavily on segment margins, the credibility of Chicken’s structural improvement, the Beef loss trajectory, and whether full-year guidance can move higher again.</w:t>
      </w:r>
    </w:p>
    <w:bookmarkEnd w:id="9"/>
    <w:bookmarkStart w:id="10" w:name="what-tyson-needs-to-prove"/>
    <w:p>
      <w:pPr>
        <w:pStyle w:val="Heading2"/>
      </w:pPr>
      <w:r>
        <w:t xml:space="preserve">What Tyson needs to prove</w:t>
      </w:r>
    </w:p>
    <w:p>
      <w:pPr>
        <w:pStyle w:val="FirstParagraph"/>
      </w:pPr>
      <w:r>
        <w:t xml:space="preserve">Tyson raised fiscal-2026 adjusted operating income (“AOI”) guidance in fiscal Q2 to</w:t>
      </w:r>
      <w:r>
        <w:t xml:space="preserve"> </w:t>
      </w:r>
      <m:oMath>
        <m:r>
          <m:t>2.2</m:t>
        </m:r>
        <m:r>
          <m:t>b</m:t>
        </m:r>
        <m:r>
          <m:t>i</m:t>
        </m:r>
        <m:r>
          <m:t>l</m:t>
        </m:r>
        <m:r>
          <m:t>l</m:t>
        </m:r>
        <m:r>
          <m:t>i</m:t>
        </m:r>
        <m:r>
          <m:t>o</m:t>
        </m:r>
        <m:r>
          <m:t>n</m:t>
        </m:r>
        <m:r>
          <m:rPr>
            <m:sty m:val="p"/>
          </m:rPr>
          <m:t>–</m:t>
        </m:r>
      </m:oMath>
      <w:r>
        <w:rPr>
          <w:b/>
          <w:bCs/>
        </w:rPr>
        <w:t xml:space="preserve">2.4 billion</w:t>
      </w:r>
      <w:r>
        <w:t xml:space="preserve">, from a prior range with a midpoint</w:t>
      </w:r>
      <w:r>
        <w:t xml:space="preserve"> </w:t>
      </w:r>
      <m:oMath>
        <m:r>
          <m:t>100</m:t>
        </m:r>
        <m:r>
          <m:t>m</m:t>
        </m:r>
        <m:r>
          <m:t>i</m:t>
        </m:r>
        <m:r>
          <m:t>l</m:t>
        </m:r>
        <m:r>
          <m:t>l</m:t>
        </m:r>
        <m:r>
          <m:t>i</m:t>
        </m:r>
        <m:r>
          <m:t>o</m:t>
        </m:r>
        <m:r>
          <m:t>n</m:t>
        </m:r>
        <m:r>
          <m:t>l</m:t>
        </m:r>
        <m:r>
          <m:t>o</m:t>
        </m:r>
        <m:r>
          <m:t>w</m:t>
        </m:r>
        <m:r>
          <m:t>e</m:t>
        </m:r>
        <m:r>
          <m:t>r</m:t>
        </m:r>
        <m:r>
          <m:rPr>
            <m:sty m:val="p"/>
          </m:rPr>
          <m:t>.</m:t>
        </m:r>
        <m:r>
          <m:t>W</m:t>
        </m:r>
        <m:r>
          <m:t>i</m:t>
        </m:r>
        <m:r>
          <m:t>t</m:t>
        </m:r>
        <m:r>
          <m:t>h</m:t>
        </m:r>
        <m:r>
          <m:rPr>
            <m:sty m:val="p"/>
          </m:rPr>
          <m:t>*</m:t>
        </m:r>
        <m:r>
          <m:rPr>
            <m:sty m:val="p"/>
          </m:rPr>
          <m:t>*</m:t>
        </m:r>
      </m:oMath>
      <w:r>
        <w:t xml:space="preserve">1.069 billion** generated in the first half, that outlook requires approximately</w:t>
      </w:r>
      <w:r>
        <w:t xml:space="preserve"> </w:t>
      </w:r>
      <m:oMath>
        <m:r>
          <m:t>1.13</m:t>
        </m:r>
        <m:r>
          <m:t>b</m:t>
        </m:r>
        <m:r>
          <m:t>i</m:t>
        </m:r>
        <m:r>
          <m:t>l</m:t>
        </m:r>
        <m:r>
          <m:t>l</m:t>
        </m:r>
        <m:r>
          <m:t>i</m:t>
        </m:r>
        <m:r>
          <m:t>o</m:t>
        </m:r>
        <m:r>
          <m:t>n</m:t>
        </m:r>
        <m:r>
          <m:rPr>
            <m:sty m:val="p"/>
          </m:rPr>
          <m:t>–</m:t>
        </m:r>
      </m:oMath>
      <w:r>
        <w:rPr>
          <w:b/>
          <w:bCs/>
        </w:rPr>
        <w:t xml:space="preserve">1.33 billion</w:t>
      </w:r>
      <w:r>
        <w:t xml:space="preserve"> </w:t>
      </w:r>
      <w:r>
        <w:t xml:space="preserve">of AOI in the second half.</w:t>
      </w:r>
    </w:p>
    <w:p>
      <w:pPr>
        <w:pStyle w:val="BodyText"/>
      </w:pPr>
      <w:r>
        <w:t xml:space="preserve">Management’s key segment targets are: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jc w:val="right"/>
            </w:pPr>
            <w:r>
              <w:t xml:space="preserve">FY26 adjusted operating-income outlook</w:t>
            </w:r>
          </w:p>
        </w:tc>
        <w:tc>
          <w:tcPr/>
          <w:p>
            <w:pPr>
              <w:pStyle w:val="Compact"/>
              <w:jc w:val="right"/>
            </w:pPr>
            <w:r>
              <w:t xml:space="preserve">1H26 actual</w:t>
            </w:r>
          </w:p>
        </w:tc>
        <w:tc>
          <w:tcPr/>
          <w:p>
            <w:pPr>
              <w:pStyle w:val="Compact"/>
            </w:pPr>
            <w:r>
              <w:t xml:space="preserve">What matters in Q3</w:t>
            </w:r>
          </w:p>
        </w:tc>
      </w:tr>
      <w:tr>
        <w:tc>
          <w:tcPr/>
          <w:p>
            <w:pPr>
              <w:pStyle w:val="Compact"/>
            </w:pPr>
            <w:r>
              <w:t xml:space="preserve">Chicken</w:t>
            </w:r>
          </w:p>
        </w:tc>
        <w:tc>
          <w:tcPr/>
          <w:p>
            <w:pPr>
              <w:pStyle w:val="Compact"/>
              <w:jc w:val="right"/>
            </w:pPr>
            <m:oMath>
              <m:r>
                <m:t>1.90</m:t>
              </m:r>
              <m:r>
                <m:t>B</m:t>
              </m:r>
              <m:r>
                <m:rPr>
                  <m:sty m:val="p"/>
                </m:rPr>
                <m:t>–</m:t>
              </m:r>
            </m:oMath>
            <w:r>
              <w:t xml:space="preserve">2.05B</w:t>
            </w:r>
          </w:p>
        </w:tc>
        <w:tc>
          <w:tcPr/>
          <w:p>
            <w:pPr>
              <w:pStyle w:val="Compact"/>
              <w:jc w:val="right"/>
            </w:pPr>
            <w:r>
              <w:t xml:space="preserve">$982M</w:t>
            </w:r>
          </w:p>
        </w:tc>
        <w:tc>
          <w:tcPr/>
          <w:p>
            <w:pPr>
              <w:pStyle w:val="Compact"/>
            </w:pPr>
            <w:r>
              <w:t xml:space="preserve">Durability of double-digit margins, mix, genetics contribution</w:t>
            </w:r>
          </w:p>
        </w:tc>
      </w:tr>
      <w:tr>
        <w:tc>
          <w:tcPr/>
          <w:p>
            <w:pPr>
              <w:pStyle w:val="Compact"/>
            </w:pPr>
            <w:r>
              <w:t xml:space="preserve">Prepared Foods</w:t>
            </w:r>
          </w:p>
        </w:tc>
        <w:tc>
          <w:tcPr/>
          <w:p>
            <w:pPr>
              <w:pStyle w:val="Compact"/>
              <w:jc w:val="right"/>
            </w:pPr>
            <m:oMath>
              <m:r>
                <m:t>1.25</m:t>
              </m:r>
              <m:r>
                <m:t>B</m:t>
              </m:r>
              <m:r>
                <m:rPr>
                  <m:sty m:val="p"/>
                </m:rPr>
                <m:t>–</m:t>
              </m:r>
            </m:oMath>
            <w:r>
              <w:t xml:space="preserve">1.35B</w:t>
            </w:r>
          </w:p>
        </w:tc>
        <w:tc>
          <w:tcPr/>
          <w:p>
            <w:pPr>
              <w:pStyle w:val="Compact"/>
              <w:jc w:val="right"/>
            </w:pPr>
            <w:r>
              <w:t xml:space="preserve">$690M</w:t>
            </w:r>
          </w:p>
        </w:tc>
        <w:tc>
          <w:tcPr/>
          <w:p>
            <w:pPr>
              <w:pStyle w:val="Compact"/>
            </w:pPr>
            <w:r>
              <w:t xml:space="preserve">Pricing/cost balance, branded-volume and share momentum</w:t>
            </w:r>
          </w:p>
        </w:tc>
      </w:tr>
      <w:tr>
        <w:tc>
          <w:tcPr/>
          <w:p>
            <w:pPr>
              <w:pStyle w:val="Compact"/>
            </w:pPr>
            <w:r>
              <w:t xml:space="preserve">Pork</w:t>
            </w:r>
          </w:p>
        </w:tc>
        <w:tc>
          <w:tcPr/>
          <w:p>
            <w:pPr>
              <w:pStyle w:val="Compact"/>
              <w:jc w:val="right"/>
            </w:pPr>
            <m:oMath>
              <m:r>
                <m:t>250</m:t>
              </m:r>
              <m:r>
                <m:t>M</m:t>
              </m:r>
              <m:r>
                <m:rPr>
                  <m:sty m:val="p"/>
                </m:rPr>
                <m:t>–</m:t>
              </m:r>
            </m:oMath>
            <w:r>
              <w:t xml:space="preserve">300M</w:t>
            </w:r>
          </w:p>
        </w:tc>
        <w:tc>
          <w:tcPr/>
          <w:p>
            <w:pPr>
              <w:pStyle w:val="Compact"/>
              <w:jc w:val="right"/>
            </w:pPr>
            <w:r>
              <w:t xml:space="preserve">$152M</w:t>
            </w:r>
          </w:p>
        </w:tc>
        <w:tc>
          <w:tcPr/>
          <w:p>
            <w:pPr>
              <w:pStyle w:val="Compact"/>
            </w:pPr>
            <w:r>
              <w:t xml:space="preserve">Normalization after softer Q2; supply and spread stability</w:t>
            </w:r>
          </w:p>
        </w:tc>
      </w:tr>
      <w:tr>
        <w:tc>
          <w:tcPr/>
          <w:p>
            <w:pPr>
              <w:pStyle w:val="Compact"/>
            </w:pPr>
            <w:r>
              <w:t xml:space="preserve">Beef</w:t>
            </w:r>
          </w:p>
        </w:tc>
        <w:tc>
          <w:tcPr/>
          <w:p>
            <w:pPr>
              <w:pStyle w:val="Compact"/>
              <w:jc w:val="right"/>
            </w:pPr>
            <w:r>
              <w:rPr>
                <w:b/>
                <w:bCs/>
              </w:rPr>
              <w:t xml:space="preserve">(</w:t>
            </w:r>
            <m:oMath>
              <m:r>
                <m:t>500</m:t>
              </m:r>
              <m:r>
                <m:t>M</m:t>
              </m:r>
              <m:r>
                <m:rPr>
                  <m:sty m:val="p"/>
                </m:rPr>
                <m:t>)</m:t>
              </m:r>
              <m:r>
                <m:rPr>
                  <m:sty m:val="p"/>
                </m:rPr>
                <m:t>–</m:t>
              </m:r>
              <m:r>
                <m:rPr>
                  <m:sty m:val="p"/>
                </m:rPr>
                <m:t>(</m:t>
              </m:r>
            </m:oMath>
            <w:r>
              <w:rPr>
                <w:b/>
                <w:bCs/>
              </w:rPr>
              <w:t xml:space="preserve">350M)</w:t>
            </w:r>
          </w:p>
        </w:tc>
        <w:tc>
          <w:tcPr/>
          <w:p>
            <w:pPr>
              <w:pStyle w:val="Compact"/>
              <w:jc w:val="right"/>
            </w:pPr>
            <w:r>
              <w:rPr>
                <w:b/>
                <w:bCs/>
              </w:rPr>
              <w:t xml:space="preserve">($345M)</w:t>
            </w:r>
          </w:p>
        </w:tc>
        <w:tc>
          <w:tcPr/>
          <w:p>
            <w:pPr>
              <w:pStyle w:val="Compact"/>
            </w:pPr>
            <w:r>
              <w:t xml:space="preserve">Whether plant optimization meaningfully narrows losses</w:t>
            </w:r>
          </w:p>
        </w:tc>
      </w:tr>
      <w:tr>
        <w:tc>
          <w:tcPr/>
          <w:p>
            <w:pPr>
              <w:pStyle w:val="Compact"/>
            </w:pPr>
            <w:r>
              <w:t xml:space="preserve">International</w:t>
            </w:r>
          </w:p>
        </w:tc>
        <w:tc>
          <w:tcPr/>
          <w:p>
            <w:pPr>
              <w:pStyle w:val="Compact"/>
              <w:jc w:val="right"/>
            </w:pPr>
            <m:oMath>
              <m:r>
                <m:t>150</m:t>
              </m:r>
              <m:r>
                <m:t>M</m:t>
              </m:r>
              <m:r>
                <m:rPr>
                  <m:sty m:val="p"/>
                </m:rPr>
                <m:t>–</m:t>
              </m:r>
            </m:oMath>
            <w:r>
              <w:t xml:space="preserve">200M</w:t>
            </w:r>
          </w:p>
        </w:tc>
        <w:tc>
          <w:tcPr/>
          <w:p>
            <w:pPr>
              <w:pStyle w:val="Compact"/>
              <w:jc w:val="right"/>
            </w:pPr>
            <w:r>
              <w:t xml:space="preserve">$83M</w:t>
            </w:r>
          </w:p>
        </w:tc>
        <w:tc>
          <w:tcPr/>
          <w:p>
            <w:pPr>
              <w:pStyle w:val="Compact"/>
            </w:pPr>
            <w:r>
              <w:t xml:space="preserve">Continued steady contribution</w:t>
            </w:r>
          </w:p>
        </w:tc>
      </w:tr>
      <w:tr>
        <w:tc>
          <w:tcPr/>
          <w:p>
            <w:pPr>
              <w:pStyle w:val="Compact"/>
            </w:pPr>
            <w:r>
              <w:t xml:space="preserve">Total company AOI</w:t>
            </w:r>
          </w:p>
        </w:tc>
        <w:tc>
          <w:tcPr/>
          <w:p>
            <w:pPr>
              <w:pStyle w:val="Compact"/>
              <w:jc w:val="right"/>
            </w:pPr>
            <m:oMath>
              <m:r>
                <m:t>2.20</m:t>
              </m:r>
              <m:r>
                <m:t>B</m:t>
              </m:r>
              <m:r>
                <m:rPr>
                  <m:sty m:val="p"/>
                </m:rPr>
                <m:t>–</m:t>
              </m:r>
            </m:oMath>
            <w:r>
              <w:t xml:space="preserve">2.40B</w:t>
            </w:r>
          </w:p>
        </w:tc>
        <w:tc>
          <w:tcPr/>
          <w:p>
            <w:pPr>
              <w:pStyle w:val="Compact"/>
              <w:jc w:val="right"/>
            </w:pPr>
            <w:r>
              <w:t xml:space="preserve">$1.069B</w:t>
            </w:r>
          </w:p>
        </w:tc>
        <w:tc>
          <w:tcPr/>
          <w:p>
            <w:pPr>
              <w:pStyle w:val="Compact"/>
            </w:pPr>
            <w:r>
              <w:t xml:space="preserve">Potential for another guide raise versus conservatism</w:t>
            </w:r>
          </w:p>
        </w:tc>
      </w:tr>
    </w:tbl>
    <w:p>
      <w:pPr>
        <w:pStyle w:val="BodyText"/>
      </w:pPr>
      <w:r>
        <w:t xml:space="preserve">The central issue is that Tyson’s good businesses are already performing well enough to support the year; the variability lies in how quickly Beef improves and whether Chicken’s current earnings power is genuinely durable.</w:t>
      </w:r>
    </w:p>
    <w:p>
      <w:r>
        <w:pict>
          <v:rect style="width:0;height:1.5pt" o:hralign="center" o:hrstd="t" o:hr="t"/>
        </w:pict>
      </w:r>
    </w:p>
    <w:bookmarkEnd w:id="10"/>
    <w:bookmarkStart w:id="12" w:name="X92279bd7e1d4c2bd878f8b7198ba1730d839c4b"/>
    <w:p>
      <w:pPr>
        <w:pStyle w:val="Heading2"/>
      </w:pPr>
      <w:r>
        <w:t xml:space="preserve">1. Chicken is the most important upside driver</w:t>
      </w:r>
    </w:p>
    <w:p>
      <w:pPr>
        <w:pStyle w:val="FirstParagraph"/>
      </w:pPr>
      <w:r>
        <w:t xml:space="preserve">Chicken has become Tyson’s principal earnings engine. In fiscal Q2, Chicken generated</w:t>
      </w:r>
      <w:r>
        <w:t xml:space="preserve"> </w:t>
      </w:r>
      <m:oMath>
        <m:r>
          <m:t>523</m:t>
        </m:r>
        <m:r>
          <m:t>m</m:t>
        </m:r>
        <m:r>
          <m:t>i</m:t>
        </m:r>
        <m:r>
          <m:t>l</m:t>
        </m:r>
        <m:r>
          <m:t>l</m:t>
        </m:r>
        <m:r>
          <m:t>i</m:t>
        </m:r>
        <m:r>
          <m:t>o</m:t>
        </m:r>
        <m:r>
          <m:t>n</m:t>
        </m:r>
        <m:r>
          <m:rPr>
            <m:sty m:val="p"/>
          </m:rPr>
          <m:t>*</m:t>
        </m:r>
        <m:r>
          <m:rPr>
            <m:sty m:val="p"/>
          </m:rPr>
          <m:t>*</m:t>
        </m:r>
        <m:r>
          <m:t>o</m:t>
        </m:r>
        <m:r>
          <m:t>f</m:t>
        </m:r>
        <m:r>
          <m:t>a</m:t>
        </m:r>
        <m:r>
          <m:t>d</m:t>
        </m:r>
        <m:r>
          <m:t>j</m:t>
        </m:r>
        <m:r>
          <m:t>u</m:t>
        </m:r>
        <m:r>
          <m:t>s</m:t>
        </m:r>
        <m:r>
          <m:t>t</m:t>
        </m:r>
        <m:r>
          <m:t>e</m:t>
        </m:r>
        <m:r>
          <m:t>d</m:t>
        </m:r>
        <m:r>
          <m:t>o</m:t>
        </m:r>
        <m:r>
          <m:t>p</m:t>
        </m:r>
        <m:r>
          <m:t>e</m:t>
        </m:r>
        <m:r>
          <m:t>r</m:t>
        </m:r>
        <m:r>
          <m:t>a</m:t>
        </m:r>
        <m:r>
          <m:t>t</m:t>
        </m:r>
        <m:r>
          <m:t>i</m:t>
        </m:r>
        <m:r>
          <m:t>n</m:t>
        </m:r>
        <m:r>
          <m:t>g</m:t>
        </m:r>
        <m:r>
          <m:t>i</m:t>
        </m:r>
        <m:r>
          <m:t>n</m:t>
        </m:r>
        <m:r>
          <m:t>c</m:t>
        </m:r>
        <m:r>
          <m:t>o</m:t>
        </m:r>
        <m:r>
          <m:t>m</m:t>
        </m:r>
        <m:r>
          <m:t>e</m:t>
        </m:r>
        <m:r>
          <m:t>a</m:t>
        </m:r>
        <m:r>
          <m:t>n</m:t>
        </m:r>
        <m:r>
          <m:t>d</m:t>
        </m:r>
        <m:r>
          <m:t>a</m:t>
        </m:r>
        <m:r>
          <m:rPr>
            <m:sty m:val="p"/>
          </m:rPr>
          <m:t>*</m:t>
        </m:r>
        <m:r>
          <m:rPr>
            <m:sty m:val="p"/>
          </m:rPr>
          <m:t>*</m:t>
        </m:r>
        <m:r>
          <m:t>12.2</m:t>
        </m:r>
      </m:oMath>
      <w:r>
        <w:rPr>
          <w:b/>
          <w:bCs/>
        </w:rPr>
        <w:t xml:space="preserve">411 million</w:t>
      </w:r>
      <w:r>
        <w:t xml:space="preserve"> </w:t>
      </w:r>
      <w:r>
        <w:t xml:space="preserve">and a 9.9% margin a year earlier. Sales rose 3.5%, while volume increased 1.7%; notably, retail and foodservice volumes grew nearly three times faster than the total segment.</w:t>
      </w:r>
    </w:p>
    <w:p>
      <w:pPr>
        <w:pStyle w:val="BodyText"/>
      </w:pPr>
      <w:r>
        <w:t xml:space="preserve">Management’s argument is that this is not merely a favorable commodity cycle. It attributes the improvement to:</w:t>
      </w:r>
    </w:p>
    <w:p>
      <w:pPr>
        <w:pStyle w:val="Compact"/>
        <w:numPr>
          <w:ilvl w:val="0"/>
          <w:numId w:val="1002"/>
        </w:numPr>
      </w:pPr>
      <w:r>
        <w:rPr>
          <w:b/>
          <w:bCs/>
        </w:rPr>
        <w:t xml:space="preserve">Better product mix</w:t>
      </w:r>
      <w:r>
        <w:t xml:space="preserve">, including branded and value-added chicken;</w:t>
      </w:r>
    </w:p>
    <w:p>
      <w:pPr>
        <w:pStyle w:val="Compact"/>
        <w:numPr>
          <w:ilvl w:val="0"/>
          <w:numId w:val="1002"/>
        </w:numPr>
      </w:pPr>
      <w:r>
        <w:rPr>
          <w:b/>
          <w:bCs/>
        </w:rPr>
        <w:t xml:space="preserve">Strategic-customer growth</w:t>
      </w:r>
      <w:r>
        <w:t xml:space="preserve"> </w:t>
      </w:r>
      <w:r>
        <w:t xml:space="preserve">in retail and foodservice;</w:t>
      </w:r>
    </w:p>
    <w:p>
      <w:pPr>
        <w:pStyle w:val="Compact"/>
        <w:numPr>
          <w:ilvl w:val="0"/>
          <w:numId w:val="1002"/>
        </w:numPr>
      </w:pPr>
      <w:r>
        <w:rPr>
          <w:b/>
          <w:bCs/>
        </w:rPr>
        <w:t xml:space="preserve">Operational execution</w:t>
      </w:r>
      <w:r>
        <w:t xml:space="preserve"> </w:t>
      </w:r>
      <w:r>
        <w:t xml:space="preserve">across live production, yields, labor, utilization, and supply chain; and</w:t>
      </w:r>
    </w:p>
    <w:p>
      <w:pPr>
        <w:pStyle w:val="Compact"/>
        <w:numPr>
          <w:ilvl w:val="0"/>
          <w:numId w:val="1002"/>
        </w:numPr>
      </w:pPr>
      <w:r>
        <w:t xml:space="preserve">A turnaround in its</w:t>
      </w:r>
      <w:r>
        <w:t xml:space="preserve"> </w:t>
      </w:r>
      <w:r>
        <w:rPr>
          <w:b/>
          <w:bCs/>
        </w:rPr>
        <w:t xml:space="preserve">genetics business</w:t>
      </w:r>
      <w:r>
        <w:t xml:space="preserve">.</w:t>
      </w:r>
    </w:p>
    <w:p>
      <w:pPr>
        <w:pStyle w:val="FirstParagraph"/>
      </w:pPr>
      <w:r>
        <w:t xml:space="preserve">The genetics point is especially important. On the Q2 call, management said roughly one-third of the year-over-year Chicken profit improvement came from genetics. More importantly, it argued that the benefits from deploying the new large-bird genetics line into Tyson’s own broiler operations are still at an early stage. If that claim is accurate, it provides a plausible source of margin durability and upside beyond fiscal 2026.</w:t>
      </w:r>
    </w:p>
    <w:bookmarkStart w:id="11" w:name="what-to-watch"/>
    <w:p>
      <w:pPr>
        <w:pStyle w:val="Heading3"/>
      </w:pPr>
      <w:r>
        <w:t xml:space="preserve">What to watch</w:t>
      </w:r>
    </w:p>
    <w:p>
      <w:pPr>
        <w:pStyle w:val="Compact"/>
        <w:numPr>
          <w:ilvl w:val="0"/>
          <w:numId w:val="1003"/>
        </w:numPr>
      </w:pPr>
      <w:r>
        <w:t xml:space="preserve">Is Chicken margin still near or above the Q2</w:t>
      </w:r>
      <w:r>
        <w:t xml:space="preserve"> </w:t>
      </w:r>
      <w:r>
        <w:rPr>
          <w:b/>
          <w:bCs/>
        </w:rPr>
        <w:t xml:space="preserve">12.2%</w:t>
      </w:r>
      <w:r>
        <w:t xml:space="preserve"> </w:t>
      </w:r>
      <w:r>
        <w:t xml:space="preserve">level?</w:t>
      </w:r>
    </w:p>
    <w:p>
      <w:pPr>
        <w:pStyle w:val="Compact"/>
        <w:numPr>
          <w:ilvl w:val="0"/>
          <w:numId w:val="1003"/>
        </w:numPr>
      </w:pPr>
      <w:r>
        <w:t xml:space="preserve">Does management reiterate that the back half can match or exceed first-half performance?</w:t>
      </w:r>
    </w:p>
    <w:p>
      <w:pPr>
        <w:pStyle w:val="Compact"/>
        <w:numPr>
          <w:ilvl w:val="0"/>
          <w:numId w:val="1003"/>
        </w:numPr>
      </w:pPr>
      <w:r>
        <w:t xml:space="preserve">Does it quantify the genetics contribution again—or provide evidence that benefits are now extending from genetic-stock sales into Tyson’s internal production network?</w:t>
      </w:r>
    </w:p>
    <w:p>
      <w:pPr>
        <w:pStyle w:val="Compact"/>
        <w:numPr>
          <w:ilvl w:val="0"/>
          <w:numId w:val="1003"/>
        </w:numPr>
      </w:pPr>
      <w:r>
        <w:t xml:space="preserve">Are Chicken volume growth and value-added mix still positive despite softer commodity pricing?</w:t>
      </w:r>
    </w:p>
    <w:p>
      <w:pPr>
        <w:pStyle w:val="FirstParagraph"/>
      </w:pPr>
      <w:r>
        <w:rPr>
          <w:b/>
          <w:bCs/>
        </w:rPr>
        <w:t xml:space="preserve">Investor read-through:</w:t>
      </w:r>
      <w:r>
        <w:t xml:space="preserve"> </w:t>
      </w:r>
      <w:r>
        <w:t xml:space="preserve">Strong Chicken results and a confident full-year outlook would reinforce the “structural improvement” thesis. A material margin step-down, especially if blamed on commodities rather than execution, would challenge it.</w:t>
      </w:r>
    </w:p>
    <w:p>
      <w:r>
        <w:pict>
          <v:rect style="width:0;height:1.5pt" o:hralign="center" o:hrstd="t" o:hr="t"/>
        </w:pict>
      </w:r>
    </w:p>
    <w:bookmarkEnd w:id="11"/>
    <w:bookmarkEnd w:id="12"/>
    <w:bookmarkStart w:id="14" w:name="X3a611f040074f7cd7aada1fb8f23e9f84990601"/>
    <w:p>
      <w:pPr>
        <w:pStyle w:val="Heading2"/>
      </w:pPr>
      <w:r>
        <w:t xml:space="preserve">2. Prepared Foods is the quality-of-earnings story</w:t>
      </w:r>
    </w:p>
    <w:p>
      <w:pPr>
        <w:pStyle w:val="FirstParagraph"/>
      </w:pPr>
      <w:r>
        <w:t xml:space="preserve">Prepared Foods is increasingly the stabilizer in Tyson’s portfolio. Fiscal Q2 adjusted operating income was</w:t>
      </w:r>
      <w:r>
        <w:t xml:space="preserve"> </w:t>
      </w:r>
      <w:r>
        <w:rPr>
          <w:b/>
          <w:bCs/>
        </w:rPr>
        <w:t xml:space="preserve">$352 million</w:t>
      </w:r>
      <w:r>
        <w:t xml:space="preserve">, up 7% year over year, with a</w:t>
      </w:r>
      <w:r>
        <w:t xml:space="preserve"> </w:t>
      </w:r>
      <w:r>
        <w:rPr>
          <w:b/>
          <w:bCs/>
        </w:rPr>
        <w:t xml:space="preserve">14.0% margin</w:t>
      </w:r>
      <w:r>
        <w:t xml:space="preserve">. Segment sales rose 4.8%, volume grew 0.4%, and management reported share gains across volume, dollars, and units.</w:t>
      </w:r>
    </w:p>
    <w:p>
      <w:pPr>
        <w:pStyle w:val="BodyText"/>
      </w:pPr>
      <w:r>
        <w:t xml:space="preserve">That performance matters because Prepared Foods is less exposed to commodity volatility than fresh protein and carries higher-margin brands, including Jimmy Dean, Hillshire Farm, Ball Park, Wright, and Aidells.</w:t>
      </w:r>
    </w:p>
    <w:p>
      <w:pPr>
        <w:pStyle w:val="BodyText"/>
      </w:pPr>
      <w:r>
        <w:t xml:space="preserve">However, the segment still faces cost pressure:</w:t>
      </w:r>
    </w:p>
    <w:p>
      <w:pPr>
        <w:pStyle w:val="Compact"/>
        <w:numPr>
          <w:ilvl w:val="0"/>
          <w:numId w:val="1004"/>
        </w:numPr>
      </w:pPr>
      <w:r>
        <w:t xml:space="preserve">Pork, beef, and turkey inputs were higher;</w:t>
      </w:r>
    </w:p>
    <w:p>
      <w:pPr>
        <w:pStyle w:val="Compact"/>
        <w:numPr>
          <w:ilvl w:val="0"/>
          <w:numId w:val="1004"/>
        </w:numPr>
      </w:pPr>
      <w:r>
        <w:t xml:space="preserve">Packaging and resin costs increased;</w:t>
      </w:r>
    </w:p>
    <w:p>
      <w:pPr>
        <w:pStyle w:val="Compact"/>
        <w:numPr>
          <w:ilvl w:val="0"/>
          <w:numId w:val="1004"/>
        </w:numPr>
      </w:pPr>
      <w:r>
        <w:t xml:space="preserve">Freight and diesel costs were higher, although Tyson says freight is generally passed through;</w:t>
      </w:r>
    </w:p>
    <w:p>
      <w:pPr>
        <w:pStyle w:val="Compact"/>
        <w:numPr>
          <w:ilvl w:val="0"/>
          <w:numId w:val="1004"/>
        </w:numPr>
      </w:pPr>
      <w:r>
        <w:t xml:space="preserve">Pricing has been catching up with input inflation rather than fully leading it.</w:t>
      </w:r>
    </w:p>
    <w:bookmarkStart w:id="13" w:name="what-to-watch-1"/>
    <w:p>
      <w:pPr>
        <w:pStyle w:val="Heading3"/>
      </w:pPr>
      <w:r>
        <w:t xml:space="preserve">What to watch</w:t>
      </w:r>
    </w:p>
    <w:p>
      <w:pPr>
        <w:pStyle w:val="Compact"/>
        <w:numPr>
          <w:ilvl w:val="0"/>
          <w:numId w:val="1005"/>
        </w:numPr>
      </w:pPr>
      <w:r>
        <w:t xml:space="preserve">Continued positive volume, not just pricing-led sales growth;</w:t>
      </w:r>
    </w:p>
    <w:p>
      <w:pPr>
        <w:pStyle w:val="Compact"/>
        <w:numPr>
          <w:ilvl w:val="0"/>
          <w:numId w:val="1005"/>
        </w:numPr>
      </w:pPr>
      <w:r>
        <w:t xml:space="preserve">Margin resilience around the Q2</w:t>
      </w:r>
      <w:r>
        <w:t xml:space="preserve"> </w:t>
      </w:r>
      <w:r>
        <w:rPr>
          <w:b/>
          <w:bCs/>
        </w:rPr>
        <w:t xml:space="preserve">14%</w:t>
      </w:r>
      <w:r>
        <w:t xml:space="preserve"> </w:t>
      </w:r>
      <w:r>
        <w:t xml:space="preserve">level;</w:t>
      </w:r>
    </w:p>
    <w:p>
      <w:pPr>
        <w:pStyle w:val="Compact"/>
        <w:numPr>
          <w:ilvl w:val="0"/>
          <w:numId w:val="1005"/>
        </w:numPr>
      </w:pPr>
      <w:r>
        <w:t xml:space="preserve">Evidence that higher protein offerings—such as the Jimmy Dean high-protein platform—are incremental rather than cannibalistic;</w:t>
      </w:r>
    </w:p>
    <w:p>
      <w:pPr>
        <w:pStyle w:val="Compact"/>
        <w:numPr>
          <w:ilvl w:val="0"/>
          <w:numId w:val="1005"/>
        </w:numPr>
      </w:pPr>
      <w:r>
        <w:t xml:space="preserve">Any indication that commodity, packaging, or promotional investment is eroding second-half margin expectations.</w:t>
      </w:r>
    </w:p>
    <w:p>
      <w:pPr>
        <w:pStyle w:val="FirstParagraph"/>
      </w:pPr>
      <w:r>
        <w:rPr>
          <w:b/>
          <w:bCs/>
        </w:rPr>
        <w:t xml:space="preserve">Investor read-through:</w:t>
      </w:r>
      <w:r>
        <w:t xml:space="preserve"> </w:t>
      </w:r>
      <w:r>
        <w:t xml:space="preserve">Prepared Foods does not need spectacular growth to be a positive catalyst. Consistent share gains and stable margins would strengthen the case that Tyson deserves a higher valuation than a pure commodity-protein processor.</w:t>
      </w:r>
    </w:p>
    <w:p>
      <w:r>
        <w:pict>
          <v:rect style="width:0;height:1.5pt" o:hralign="center" o:hrstd="t" o:hr="t"/>
        </w:pict>
      </w:r>
    </w:p>
    <w:bookmarkEnd w:id="13"/>
    <w:bookmarkEnd w:id="14"/>
    <w:bookmarkStart w:id="16" w:name="X3961aa74d824eab53d3949d588e5092321e6162"/>
    <w:p>
      <w:pPr>
        <w:pStyle w:val="Heading2"/>
      </w:pPr>
      <w:r>
        <w:t xml:space="preserve">3. Beef remains the swing risk—and the largest source of potential upside</w:t>
      </w:r>
    </w:p>
    <w:p>
      <w:pPr>
        <w:pStyle w:val="FirstParagraph"/>
      </w:pPr>
      <w:r>
        <w:t xml:space="preserve">Beef is the main drag on consolidated earnings. In the first half, the segment posted an adjusted operating loss of</w:t>
      </w:r>
      <w:r>
        <w:t xml:space="preserve"> </w:t>
      </w:r>
      <m:oMath>
        <m:r>
          <m:t>345</m:t>
        </m:r>
        <m:r>
          <m:t>m</m:t>
        </m:r>
        <m:r>
          <m:t>i</m:t>
        </m:r>
        <m:r>
          <m:t>l</m:t>
        </m:r>
        <m:r>
          <m:t>l</m:t>
        </m:r>
        <m:r>
          <m:t>i</m:t>
        </m:r>
        <m:r>
          <m:t>o</m:t>
        </m:r>
        <m:r>
          <m:t>n</m:t>
        </m:r>
        <m:r>
          <m:rPr>
            <m:sty m:val="p"/>
          </m:rPr>
          <m:t>*</m:t>
        </m:r>
        <m:r>
          <m:rPr>
            <m:sty m:val="p"/>
          </m:rPr>
          <m:t>*</m:t>
        </m:r>
        <m:r>
          <m:rPr>
            <m:sty m:val="p"/>
          </m:rPr>
          <m:t>,</m:t>
        </m:r>
        <m:r>
          <m:t>a</m:t>
        </m:r>
        <m:r>
          <m:t>n</m:t>
        </m:r>
        <m:r>
          <m:t>d</m:t>
        </m:r>
        <m:r>
          <m:t>m</m:t>
        </m:r>
        <m:r>
          <m:t>a</m:t>
        </m:r>
        <m:r>
          <m:t>n</m:t>
        </m:r>
        <m:r>
          <m:t>a</m:t>
        </m:r>
        <m:r>
          <m:t>g</m:t>
        </m:r>
        <m:r>
          <m:t>e</m:t>
        </m:r>
        <m:r>
          <m:t>m</m:t>
        </m:r>
        <m:r>
          <m:t>e</m:t>
        </m:r>
        <m:r>
          <m:t>n</m:t>
        </m:r>
        <m:r>
          <m:t>t</m:t>
        </m:r>
        <m:r>
          <m:t>m</m:t>
        </m:r>
        <m:r>
          <m:t>a</m:t>
        </m:r>
        <m:r>
          <m:t>i</m:t>
        </m:r>
        <m:r>
          <m:t>n</m:t>
        </m:r>
        <m:r>
          <m:t>t</m:t>
        </m:r>
        <m:r>
          <m:t>a</m:t>
        </m:r>
        <m:r>
          <m:t>i</m:t>
        </m:r>
        <m:r>
          <m:t>n</m:t>
        </m:r>
        <m:r>
          <m:t>e</m:t>
        </m:r>
        <m:r>
          <m:t>d</m:t>
        </m:r>
        <m:r>
          <m:t>f</m:t>
        </m:r>
        <m:r>
          <m:t>u</m:t>
        </m:r>
        <m:r>
          <m:t>l</m:t>
        </m:r>
        <m:r>
          <m:t>l</m:t>
        </m:r>
        <m:r>
          <m:rPr>
            <m:sty m:val="p"/>
          </m:rPr>
          <m:t>−</m:t>
        </m:r>
        <m:r>
          <m:t>y</m:t>
        </m:r>
        <m:r>
          <m:t>e</m:t>
        </m:r>
        <m:r>
          <m:t>a</m:t>
        </m:r>
        <m:r>
          <m:t>r</m:t>
        </m:r>
        <m:r>
          <m:t>g</m:t>
        </m:r>
        <m:r>
          <m:t>u</m:t>
        </m:r>
        <m:r>
          <m:t>i</m:t>
        </m:r>
        <m:r>
          <m:t>d</m:t>
        </m:r>
        <m:r>
          <m:t>a</m:t>
        </m:r>
        <m:r>
          <m:t>n</m:t>
        </m:r>
        <m:r>
          <m:t>c</m:t>
        </m:r>
        <m:r>
          <m:t>e</m:t>
        </m:r>
        <m:r>
          <m:t>f</m:t>
        </m:r>
        <m:r>
          <m:t>o</m:t>
        </m:r>
        <m:r>
          <m:t>r</m:t>
        </m:r>
        <m:r>
          <m:t>a</m:t>
        </m:r>
        <m:r>
          <m:rPr>
            <m:sty m:val="p"/>
          </m:rPr>
          <m:t>*</m:t>
        </m:r>
        <m:r>
          <m:rPr>
            <m:sty m:val="p"/>
          </m:rPr>
          <m:t>*</m:t>
        </m:r>
      </m:oMath>
      <w:r>
        <w:rPr>
          <w:b/>
          <w:bCs/>
        </w:rPr>
        <w:t xml:space="preserve">350 million–$500 million loss</w:t>
      </w:r>
      <w:r>
        <w:t xml:space="preserve">.</w:t>
      </w:r>
    </w:p>
    <w:p>
      <w:pPr>
        <w:pStyle w:val="BodyText"/>
      </w:pPr>
      <w:r>
        <w:t xml:space="preserve">This guidance embeds a substantial improvement in the second half: after losing</w:t>
      </w:r>
      <w:r>
        <w:t xml:space="preserve"> </w:t>
      </w:r>
      <m:oMath>
        <m:r>
          <m:t>345</m:t>
        </m:r>
        <m:r>
          <m:t>m</m:t>
        </m:r>
        <m:r>
          <m:t>i</m:t>
        </m:r>
        <m:r>
          <m:t>l</m:t>
        </m:r>
        <m:r>
          <m:t>l</m:t>
        </m:r>
        <m:r>
          <m:t>i</m:t>
        </m:r>
        <m:r>
          <m:t>o</m:t>
        </m:r>
        <m:r>
          <m:t>n</m:t>
        </m:r>
        <m:r>
          <m:t>i</m:t>
        </m:r>
        <m:r>
          <m:t>n</m:t>
        </m:r>
        <m:r>
          <m:t>t</m:t>
        </m:r>
        <m:r>
          <m:t>h</m:t>
        </m:r>
        <m:r>
          <m:t>e</m:t>
        </m:r>
        <m:r>
          <m:t>f</m:t>
        </m:r>
        <m:r>
          <m:t>i</m:t>
        </m:r>
        <m:r>
          <m:t>r</m:t>
        </m:r>
        <m:r>
          <m:t>s</m:t>
        </m:r>
        <m:r>
          <m:t>t</m:t>
        </m:r>
        <m:r>
          <m:t>h</m:t>
        </m:r>
        <m:r>
          <m:t>a</m:t>
        </m:r>
        <m:r>
          <m:t>l</m:t>
        </m:r>
        <m:r>
          <m:t>f</m:t>
        </m:r>
        <m:r>
          <m:rPr>
            <m:sty m:val="p"/>
          </m:rPr>
          <m:t>,</m:t>
        </m:r>
        <m:r>
          <m:t>B</m:t>
        </m:r>
        <m:r>
          <m:t>e</m:t>
        </m:r>
        <m:r>
          <m:t>e</m:t>
        </m:r>
        <m:r>
          <m:t>f</m:t>
        </m:r>
        <m:r>
          <m:t>n</m:t>
        </m:r>
        <m:r>
          <m:t>e</m:t>
        </m:r>
        <m:r>
          <m:t>e</m:t>
        </m:r>
        <m:r>
          <m:t>d</m:t>
        </m:r>
        <m:r>
          <m:t>s</m:t>
        </m:r>
        <m:r>
          <m:t>t</m:t>
        </m:r>
        <m:r>
          <m:t>o</m:t>
        </m:r>
        <m:r>
          <m:t>l</m:t>
        </m:r>
        <m:r>
          <m:t>o</m:t>
        </m:r>
        <m:r>
          <m:t>s</m:t>
        </m:r>
        <m:r>
          <m:t>e</m:t>
        </m:r>
        <m:r>
          <m:t>o</m:t>
        </m:r>
        <m:r>
          <m:t>n</m:t>
        </m:r>
        <m:r>
          <m:t>l</m:t>
        </m:r>
        <m:r>
          <m:t>y</m:t>
        </m:r>
        <m:r>
          <m:t>r</m:t>
        </m:r>
        <m:r>
          <m:t>o</m:t>
        </m:r>
        <m:r>
          <m:t>u</m:t>
        </m:r>
        <m:r>
          <m:t>g</m:t>
        </m:r>
        <m:r>
          <m:t>h</m:t>
        </m:r>
        <m:r>
          <m:t>l</m:t>
        </m:r>
        <m:r>
          <m:t>y</m:t>
        </m:r>
        <m:r>
          <m:rPr>
            <m:sty m:val="p"/>
          </m:rPr>
          <m:t>*</m:t>
        </m:r>
        <m:r>
          <m:rPr>
            <m:sty m:val="p"/>
          </m:rPr>
          <m:t>*</m:t>
        </m:r>
      </m:oMath>
      <w:r>
        <w:t xml:space="preserve">5 million–$155 million** in the back half to land within the full-year range.</w:t>
      </w:r>
    </w:p>
    <w:p>
      <w:pPr>
        <w:pStyle w:val="BodyText"/>
      </w:pPr>
      <w:r>
        <w:t xml:space="preserve">Tyson has already optimized its Beef manufacturing footprint to align capacity with lower cattle availability. Management described fiscal Q2 as transitional and expects the benefits—better plant utilization, cost position, yields, labor efficiency, and mix—to build through the second half.</w:t>
      </w:r>
    </w:p>
    <w:p>
      <w:pPr>
        <w:pStyle w:val="BodyText"/>
      </w:pPr>
      <w:r>
        <w:t xml:space="preserve">The recent decision to resume Mexican cattle shipments into the U.S. is directionally favorable for domestic cattle availability and Tyson’s procurement outlook. But it is unlikely to affect fiscal Q3 results materially, given that the quarter ended in late June; the more relevant question is whether it improves the fiscal-Q4 and fiscal-2027 setup.</w:t>
      </w:r>
    </w:p>
    <w:bookmarkStart w:id="15" w:name="what-to-watch-2"/>
    <w:p>
      <w:pPr>
        <w:pStyle w:val="Heading3"/>
      </w:pPr>
      <w:r>
        <w:t xml:space="preserve">What to watch</w:t>
      </w:r>
    </w:p>
    <w:p>
      <w:pPr>
        <w:pStyle w:val="Compact"/>
        <w:numPr>
          <w:ilvl w:val="0"/>
          <w:numId w:val="1006"/>
        </w:numPr>
      </w:pPr>
      <w:r>
        <w:t xml:space="preserve">Beef adjusted operating loss relative to fiscal 3Q25’s</w:t>
      </w:r>
      <w:r>
        <w:t xml:space="preserve"> </w:t>
      </w:r>
      <w:r>
        <w:rPr>
          <w:b/>
          <w:bCs/>
        </w:rPr>
        <w:t xml:space="preserve">$151 million</w:t>
      </w:r>
      <w:r>
        <w:t xml:space="preserve"> </w:t>
      </w:r>
      <w:r>
        <w:t xml:space="preserve">loss;</w:t>
      </w:r>
    </w:p>
    <w:p>
      <w:pPr>
        <w:pStyle w:val="Compact"/>
        <w:numPr>
          <w:ilvl w:val="0"/>
          <w:numId w:val="1006"/>
        </w:numPr>
      </w:pPr>
      <w:r>
        <w:t xml:space="preserve">Commentary on cattle supply, live-cattle costs, cutout spreads, and consumer beef demand;</w:t>
      </w:r>
    </w:p>
    <w:p>
      <w:pPr>
        <w:pStyle w:val="Compact"/>
        <w:numPr>
          <w:ilvl w:val="0"/>
          <w:numId w:val="1006"/>
        </w:numPr>
      </w:pPr>
      <w:r>
        <w:t xml:space="preserve">Whether plant-footprint benefits are showing up in utilization and unit costs;</w:t>
      </w:r>
    </w:p>
    <w:p>
      <w:pPr>
        <w:pStyle w:val="Compact"/>
        <w:numPr>
          <w:ilvl w:val="0"/>
          <w:numId w:val="1006"/>
        </w:numPr>
      </w:pPr>
      <w:r>
        <w:t xml:space="preserve">Any narrowing of the full-year loss range.</w:t>
      </w:r>
    </w:p>
    <w:p>
      <w:pPr>
        <w:pStyle w:val="FirstParagraph"/>
      </w:pPr>
      <w:r>
        <w:rPr>
          <w:b/>
          <w:bCs/>
        </w:rPr>
        <w:t xml:space="preserve">Investor read-through:</w:t>
      </w:r>
      <w:r>
        <w:t xml:space="preserve"> </w:t>
      </w:r>
      <w:r>
        <w:t xml:space="preserve">Beef does not need to turn profitable for TSN to work. But management must demonstrate that losses are controlled and improving sequentially. If Beef deteriorates further, it could consume the earnings gains in Chicken and Prepared Foods.</w:t>
      </w:r>
    </w:p>
    <w:p>
      <w:r>
        <w:pict>
          <v:rect style="width:0;height:1.5pt" o:hralign="center" o:hrstd="t" o:hr="t"/>
        </w:pict>
      </w:r>
    </w:p>
    <w:bookmarkEnd w:id="15"/>
    <w:bookmarkEnd w:id="16"/>
    <w:bookmarkStart w:id="18" w:name="Xd24c0e6ef69bef92c98f067b4feac7580687866"/>
    <w:p>
      <w:pPr>
        <w:pStyle w:val="Heading2"/>
      </w:pPr>
      <w:r>
        <w:t xml:space="preserve">4. Pork should recover from a softer Q2</w:t>
      </w:r>
    </w:p>
    <w:p>
      <w:pPr>
        <w:pStyle w:val="FirstParagraph"/>
      </w:pPr>
      <w:r>
        <w:t xml:space="preserve">Pork produced</w:t>
      </w:r>
      <w:r>
        <w:t xml:space="preserve"> </w:t>
      </w:r>
      <m:oMath>
        <m:r>
          <m:t>152</m:t>
        </m:r>
        <m:r>
          <m:t>m</m:t>
        </m:r>
        <m:r>
          <m:t>i</m:t>
        </m:r>
        <m:r>
          <m:t>l</m:t>
        </m:r>
        <m:r>
          <m:t>l</m:t>
        </m:r>
        <m:r>
          <m:t>i</m:t>
        </m:r>
        <m:r>
          <m:t>o</m:t>
        </m:r>
        <m:r>
          <m:t>n</m:t>
        </m:r>
        <m:r>
          <m:rPr>
            <m:sty m:val="p"/>
          </m:rPr>
          <m:t>*</m:t>
        </m:r>
        <m:r>
          <m:rPr>
            <m:sty m:val="p"/>
          </m:rPr>
          <m:t>*</m:t>
        </m:r>
        <m:r>
          <m:t>o</m:t>
        </m:r>
        <m:r>
          <m:t>f</m:t>
        </m:r>
        <m:r>
          <m:t>a</m:t>
        </m:r>
        <m:r>
          <m:t>d</m:t>
        </m:r>
        <m:r>
          <m:t>j</m:t>
        </m:r>
        <m:r>
          <m:t>u</m:t>
        </m:r>
        <m:r>
          <m:t>s</m:t>
        </m:r>
        <m:r>
          <m:t>t</m:t>
        </m:r>
        <m:r>
          <m:t>e</m:t>
        </m:r>
        <m:r>
          <m:t>d</m:t>
        </m:r>
        <m:r>
          <m:t>o</m:t>
        </m:r>
        <m:r>
          <m:t>p</m:t>
        </m:r>
        <m:r>
          <m:t>e</m:t>
        </m:r>
        <m:r>
          <m:t>r</m:t>
        </m:r>
        <m:r>
          <m:t>a</m:t>
        </m:r>
        <m:r>
          <m:t>t</m:t>
        </m:r>
        <m:r>
          <m:t>i</m:t>
        </m:r>
        <m:r>
          <m:t>n</m:t>
        </m:r>
        <m:r>
          <m:t>g</m:t>
        </m:r>
        <m:r>
          <m:t>i</m:t>
        </m:r>
        <m:r>
          <m:t>n</m:t>
        </m:r>
        <m:r>
          <m:t>c</m:t>
        </m:r>
        <m:r>
          <m:t>o</m:t>
        </m:r>
        <m:r>
          <m:t>m</m:t>
        </m:r>
        <m:r>
          <m:t>e</m:t>
        </m:r>
        <m:r>
          <m:t>i</m:t>
        </m:r>
        <m:r>
          <m:t>n</m:t>
        </m:r>
        <m:r>
          <m:t>t</m:t>
        </m:r>
        <m:r>
          <m:t>h</m:t>
        </m:r>
        <m:r>
          <m:t>e</m:t>
        </m:r>
        <m:r>
          <m:t>f</m:t>
        </m:r>
        <m:r>
          <m:t>i</m:t>
        </m:r>
        <m:r>
          <m:t>r</m:t>
        </m:r>
        <m:r>
          <m:t>s</m:t>
        </m:r>
        <m:r>
          <m:t>t</m:t>
        </m:r>
        <m:r>
          <m:t>h</m:t>
        </m:r>
        <m:r>
          <m:t>a</m:t>
        </m:r>
        <m:r>
          <m:t>l</m:t>
        </m:r>
        <m:r>
          <m:t>f</m:t>
        </m:r>
        <m:r>
          <m:rPr>
            <m:sty m:val="p"/>
          </m:rPr>
          <m:t>,</m:t>
        </m:r>
        <m:r>
          <m:t>a</m:t>
        </m:r>
        <m:r>
          <m:t>g</m:t>
        </m:r>
        <m:r>
          <m:t>a</m:t>
        </m:r>
        <m:r>
          <m:t>i</m:t>
        </m:r>
        <m:r>
          <m:t>n</m:t>
        </m:r>
        <m:r>
          <m:t>s</m:t>
        </m:r>
        <m:r>
          <m:t>t</m:t>
        </m:r>
        <m:r>
          <m:t>f</m:t>
        </m:r>
        <m:r>
          <m:t>u</m:t>
        </m:r>
        <m:r>
          <m:t>l</m:t>
        </m:r>
        <m:r>
          <m:t>l</m:t>
        </m:r>
        <m:r>
          <m:rPr>
            <m:sty m:val="p"/>
          </m:rPr>
          <m:t>−</m:t>
        </m:r>
        <m:r>
          <m:t>y</m:t>
        </m:r>
        <m:r>
          <m:t>e</m:t>
        </m:r>
        <m:r>
          <m:t>a</m:t>
        </m:r>
        <m:r>
          <m:t>r</m:t>
        </m:r>
        <m:r>
          <m:t>g</m:t>
        </m:r>
        <m:r>
          <m:t>u</m:t>
        </m:r>
        <m:r>
          <m:t>i</m:t>
        </m:r>
        <m:r>
          <m:t>d</m:t>
        </m:r>
        <m:r>
          <m:t>a</m:t>
        </m:r>
        <m:r>
          <m:t>n</m:t>
        </m:r>
        <m:r>
          <m:t>c</m:t>
        </m:r>
        <m:r>
          <m:t>e</m:t>
        </m:r>
        <m:r>
          <m:t>o</m:t>
        </m:r>
        <m:r>
          <m:t>f</m:t>
        </m:r>
        <m:r>
          <m:rPr>
            <m:sty m:val="p"/>
          </m:rPr>
          <m:t>*</m:t>
        </m:r>
        <m:r>
          <m:rPr>
            <m:sty m:val="p"/>
          </m:rPr>
          <m:t>*</m:t>
        </m:r>
      </m:oMath>
      <w:r>
        <w:rPr>
          <w:b/>
          <w:bCs/>
        </w:rPr>
        <w:t xml:space="preserve">250 million–</w:t>
      </w:r>
      <m:oMath>
        <m:r>
          <m:t>300</m:t>
        </m:r>
        <m:r>
          <m:t>m</m:t>
        </m:r>
        <m:r>
          <m:t>i</m:t>
        </m:r>
        <m:r>
          <m:t>l</m:t>
        </m:r>
        <m:r>
          <m:t>l</m:t>
        </m:r>
        <m:r>
          <m:t>i</m:t>
        </m:r>
        <m:r>
          <m:t>o</m:t>
        </m:r>
        <m:r>
          <m:t>n</m:t>
        </m:r>
        <m:r>
          <m:rPr>
            <m:sty m:val="p"/>
          </m:rPr>
          <m:t>*</m:t>
        </m:r>
        <m:r>
          <m:rPr>
            <m:sty m:val="p"/>
          </m:rPr>
          <m:t>*</m:t>
        </m:r>
        <m:r>
          <m:rPr>
            <m:sty m:val="p"/>
          </m:rPr>
          <m:t>.</m:t>
        </m:r>
        <m:r>
          <m:t>Q</m:t>
        </m:r>
        <m:r>
          <m:t>2</m:t>
        </m:r>
        <m:r>
          <m:t>w</m:t>
        </m:r>
        <m:r>
          <m:t>a</m:t>
        </m:r>
        <m:r>
          <m:t>s</m:t>
        </m:r>
        <m:r>
          <m:t>c</m:t>
        </m:r>
        <m:r>
          <m:t>o</m:t>
        </m:r>
        <m:r>
          <m:t>m</m:t>
        </m:r>
        <m:r>
          <m:t>p</m:t>
        </m:r>
        <m:r>
          <m:t>a</m:t>
        </m:r>
        <m:r>
          <m:t>r</m:t>
        </m:r>
        <m:r>
          <m:t>a</m:t>
        </m:r>
        <m:r>
          <m:t>t</m:t>
        </m:r>
        <m:r>
          <m:t>i</m:t>
        </m:r>
        <m:r>
          <m:t>v</m:t>
        </m:r>
        <m:r>
          <m:t>e</m:t>
        </m:r>
        <m:r>
          <m:t>l</m:t>
        </m:r>
        <m:r>
          <m:t>y</m:t>
        </m:r>
        <m:r>
          <m:t>w</m:t>
        </m:r>
        <m:r>
          <m:t>e</m:t>
        </m:r>
        <m:r>
          <m:t>a</m:t>
        </m:r>
        <m:r>
          <m:t>k</m:t>
        </m:r>
        <m:r>
          <m:t>a</m:t>
        </m:r>
        <m:r>
          <m:t>t</m:t>
        </m:r>
        <m:r>
          <m:rPr>
            <m:sty m:val="p"/>
          </m:rPr>
          <m:t>*</m:t>
        </m:r>
        <m:r>
          <m:rPr>
            <m:sty m:val="p"/>
          </m:rPr>
          <m:t>*</m:t>
        </m:r>
      </m:oMath>
      <w:r>
        <w:rPr>
          <w:b/>
          <w:bCs/>
        </w:rPr>
        <w:t xml:space="preserve">41 million</w:t>
      </w:r>
      <w:r>
        <w:t xml:space="preserve">, affected by higher hog costs, temporary overstaffing and relocation costs, maintenance expenses, and weather-related disruption.</w:t>
      </w:r>
    </w:p>
    <w:p>
      <w:pPr>
        <w:pStyle w:val="BodyText"/>
      </w:pPr>
      <w:r>
        <w:t xml:space="preserve">Management has characterized those issues as discrete rather than structural. It also sees pork benefiting from its value proposition versus Beef and from better internal utilization of bellies, hams, and trimmings in Prepared Foods.</w:t>
      </w:r>
    </w:p>
    <w:bookmarkStart w:id="17" w:name="what-to-watch-3"/>
    <w:p>
      <w:pPr>
        <w:pStyle w:val="Heading3"/>
      </w:pPr>
      <w:r>
        <w:t xml:space="preserve">What to watch</w:t>
      </w:r>
    </w:p>
    <w:p>
      <w:pPr>
        <w:pStyle w:val="Compact"/>
        <w:numPr>
          <w:ilvl w:val="0"/>
          <w:numId w:val="1007"/>
        </w:numPr>
      </w:pPr>
      <w:r>
        <w:t xml:space="preserve">A sequential rebound from Q2’s</w:t>
      </w:r>
      <w:r>
        <w:t xml:space="preserve"> </w:t>
      </w:r>
      <w:r>
        <w:rPr>
          <w:b/>
          <w:bCs/>
        </w:rPr>
        <w:t xml:space="preserve">$41 million</w:t>
      </w:r>
      <w:r>
        <w:t xml:space="preserve"> </w:t>
      </w:r>
      <w:r>
        <w:t xml:space="preserve">result;</w:t>
      </w:r>
    </w:p>
    <w:p>
      <w:pPr>
        <w:pStyle w:val="Compact"/>
        <w:numPr>
          <w:ilvl w:val="0"/>
          <w:numId w:val="1007"/>
        </w:numPr>
      </w:pPr>
      <w:r>
        <w:t xml:space="preserve">Stable hog availability and disease-related commentary;</w:t>
      </w:r>
    </w:p>
    <w:p>
      <w:pPr>
        <w:pStyle w:val="Compact"/>
        <w:numPr>
          <w:ilvl w:val="0"/>
          <w:numId w:val="1007"/>
        </w:numPr>
      </w:pPr>
      <w:r>
        <w:t xml:space="preserve">Whether pork’s value relative to beef is translating into retail and foodservice demand;</w:t>
      </w:r>
    </w:p>
    <w:p>
      <w:pPr>
        <w:pStyle w:val="Compact"/>
        <w:numPr>
          <w:ilvl w:val="0"/>
          <w:numId w:val="1007"/>
        </w:numPr>
      </w:pPr>
      <w:r>
        <w:t xml:space="preserve">Confirmation that temporary Q2 costs have rolled off.</w:t>
      </w:r>
    </w:p>
    <w:p>
      <w:r>
        <w:pict>
          <v:rect style="width:0;height:1.5pt" o:hralign="center" o:hrstd="t" o:hr="t"/>
        </w:pict>
      </w:r>
    </w:p>
    <w:bookmarkEnd w:id="17"/>
    <w:bookmarkEnd w:id="18"/>
    <w:bookmarkStart w:id="19" w:name="guidance-the-highest-value-catalyst"/>
    <w:p>
      <w:pPr>
        <w:pStyle w:val="Heading2"/>
      </w:pPr>
      <w:r>
        <w:t xml:space="preserve">Guidance: the highest-value catalyst</w:t>
      </w:r>
    </w:p>
    <w:p>
      <w:pPr>
        <w:pStyle w:val="FirstParagraph"/>
      </w:pPr>
      <w:r>
        <w:t xml:space="preserve">The clearest upside catalyst would be another increase to the</w:t>
      </w:r>
      <w:r>
        <w:t xml:space="preserve"> </w:t>
      </w:r>
      <m:oMath>
        <m:r>
          <m:t>2.2</m:t>
        </m:r>
        <m:r>
          <m:t>b</m:t>
        </m:r>
        <m:r>
          <m:t>i</m:t>
        </m:r>
        <m:r>
          <m:t>l</m:t>
        </m:r>
        <m:r>
          <m:t>l</m:t>
        </m:r>
        <m:r>
          <m:t>i</m:t>
        </m:r>
        <m:r>
          <m:t>o</m:t>
        </m:r>
        <m:r>
          <m:t>n</m:t>
        </m:r>
        <m:r>
          <m:rPr>
            <m:sty m:val="p"/>
          </m:rPr>
          <m:t>–</m:t>
        </m:r>
      </m:oMath>
      <w:r>
        <w:rPr>
          <w:b/>
          <w:bCs/>
        </w:rPr>
        <w:t xml:space="preserve">2.4 billion</w:t>
      </w:r>
      <w:r>
        <w:t xml:space="preserve"> </w:t>
      </w:r>
      <w:r>
        <w:t xml:space="preserve">fiscal-2026 AOI range.</w:t>
      </w:r>
    </w:p>
    <w:p>
      <w:pPr>
        <w:pStyle w:val="BodyText"/>
      </w:pPr>
      <w:r>
        <w:t xml:space="preserve">A raise would be most credible if it comes from:</w:t>
      </w:r>
    </w:p>
    <w:p>
      <w:pPr>
        <w:pStyle w:val="Compact"/>
        <w:numPr>
          <w:ilvl w:val="0"/>
          <w:numId w:val="1008"/>
        </w:numPr>
      </w:pPr>
      <w:r>
        <w:t xml:space="preserve">sustained Chicken margins and volume/mix momentum;</w:t>
      </w:r>
    </w:p>
    <w:p>
      <w:pPr>
        <w:pStyle w:val="Compact"/>
        <w:numPr>
          <w:ilvl w:val="0"/>
          <w:numId w:val="1008"/>
        </w:numPr>
      </w:pPr>
      <w:r>
        <w:t xml:space="preserve">continued Prepared Foods execution;</w:t>
      </w:r>
    </w:p>
    <w:p>
      <w:pPr>
        <w:pStyle w:val="Compact"/>
        <w:numPr>
          <w:ilvl w:val="0"/>
          <w:numId w:val="1008"/>
        </w:numPr>
      </w:pPr>
      <w:r>
        <w:t xml:space="preserve">a clearer second-half Beef recovery; and</w:t>
      </w:r>
    </w:p>
    <w:p>
      <w:pPr>
        <w:pStyle w:val="Compact"/>
        <w:numPr>
          <w:ilvl w:val="0"/>
          <w:numId w:val="1008"/>
        </w:numPr>
      </w:pPr>
      <w:r>
        <w:t xml:space="preserve">confidence that rising feed, packaging, freight, and protein-input costs are manageable.</w:t>
      </w:r>
    </w:p>
    <w:p>
      <w:pPr>
        <w:pStyle w:val="FirstParagraph"/>
      </w:pPr>
      <w:r>
        <w:t xml:space="preserve">Conversely, Tyson could report an in-line quarter and still see a muted reaction if it merely reiterates guidance without providing more confidence around the upper half of the range.</w:t>
      </w:r>
    </w:p>
    <w:bookmarkEnd w:id="19"/>
    <w:bookmarkStart w:id="20" w:name="key-risks-into-the-print"/>
    <w:p>
      <w:pPr>
        <w:pStyle w:val="Heading2"/>
      </w:pPr>
      <w:r>
        <w:t xml:space="preserve">Key risks into the print</w:t>
      </w:r>
    </w:p>
    <w:p>
      <w:pPr>
        <w:numPr>
          <w:ilvl w:val="0"/>
          <w:numId w:val="1009"/>
        </w:numPr>
      </w:pPr>
      <w:r>
        <w:rPr>
          <w:b/>
          <w:bCs/>
        </w:rPr>
        <w:t xml:space="preserve">Chicken margin normalization.</w:t>
      </w:r>
      <w:r>
        <w:t xml:space="preserve"> </w:t>
      </w:r>
      <w:r>
        <w:t xml:space="preserve">Tyson’s Q2 Chicken margin was exceptionally strong. Any sign that performance depends more on favorable markets than on structural execution would be a concern.</w:t>
      </w:r>
    </w:p>
    <w:p>
      <w:pPr>
        <w:numPr>
          <w:ilvl w:val="0"/>
          <w:numId w:val="1009"/>
        </w:numPr>
      </w:pPr>
      <w:r>
        <w:rPr>
          <w:b/>
          <w:bCs/>
        </w:rPr>
        <w:t xml:space="preserve">Beef losses remain elevated.</w:t>
      </w:r>
      <w:r>
        <w:t xml:space="preserve"> </w:t>
      </w:r>
      <w:r>
        <w:t xml:space="preserve">The cattle cycle is outside Tyson’s direct control, and continued tight availability could delay the expected second-half improvement.</w:t>
      </w:r>
    </w:p>
    <w:p>
      <w:pPr>
        <w:numPr>
          <w:ilvl w:val="0"/>
          <w:numId w:val="1009"/>
        </w:numPr>
      </w:pPr>
      <w:r>
        <w:rPr>
          <w:b/>
          <w:bCs/>
        </w:rPr>
        <w:t xml:space="preserve">Prepared Foods cost inflation.</w:t>
      </w:r>
      <w:r>
        <w:t xml:space="preserve"> </w:t>
      </w:r>
      <w:r>
        <w:t xml:space="preserve">Higher protein inputs, packaging, and promotional activity could pressure margins despite strong brands and pricing.</w:t>
      </w:r>
    </w:p>
    <w:p>
      <w:pPr>
        <w:numPr>
          <w:ilvl w:val="0"/>
          <w:numId w:val="1009"/>
        </w:numPr>
      </w:pPr>
      <w:r>
        <w:rPr>
          <w:b/>
          <w:bCs/>
        </w:rPr>
        <w:t xml:space="preserve">Pork supply or spread volatility.</w:t>
      </w:r>
      <w:r>
        <w:t xml:space="preserve"> </w:t>
      </w:r>
      <w:r>
        <w:t xml:space="preserve">Management has been constructive on supply, but disease and herd dynamics remain watch items.</w:t>
      </w:r>
    </w:p>
    <w:p>
      <w:pPr>
        <w:numPr>
          <w:ilvl w:val="0"/>
          <w:numId w:val="1009"/>
        </w:numPr>
      </w:pPr>
      <w:r>
        <w:rPr>
          <w:b/>
          <w:bCs/>
        </w:rPr>
        <w:t xml:space="preserve">Expectation risk.</w:t>
      </w:r>
      <w:r>
        <w:t xml:space="preserve"> </w:t>
      </w:r>
      <w:r>
        <w:t xml:space="preserve">The stock’s underperformance suggests skepticism, but the Q2 guide raise and stronger Chicken narrative mean investors may now expect proof of a durable earnings upgrade.</w:t>
      </w:r>
    </w:p>
    <w:bookmarkEnd w:id="20"/>
    <w:bookmarkStart w:id="21" w:name="bottom-line"/>
    <w:p>
      <w:pPr>
        <w:pStyle w:val="Heading2"/>
      </w:pPr>
      <w:r>
        <w:t xml:space="preserve">Bottom line</w:t>
      </w:r>
    </w:p>
    <w:p>
      <w:pPr>
        <w:pStyle w:val="FirstParagraph"/>
      </w:pPr>
      <w:r>
        <w:t xml:space="preserve">TSN enters fiscal 3Q26 with a favorable operating setup in</w:t>
      </w:r>
      <w:r>
        <w:t xml:space="preserve"> </w:t>
      </w:r>
      <w:r>
        <w:rPr>
          <w:b/>
          <w:bCs/>
        </w:rPr>
        <w:t xml:space="preserve">Chicken and Prepared Foods</w:t>
      </w:r>
      <w:r>
        <w:t xml:space="preserve">, a likely sequential improvement opportunity in</w:t>
      </w:r>
      <w:r>
        <w:t xml:space="preserve"> </w:t>
      </w:r>
      <w:r>
        <w:rPr>
          <w:b/>
          <w:bCs/>
        </w:rPr>
        <w:t xml:space="preserve">Pork</w:t>
      </w:r>
      <w:r>
        <w:t xml:space="preserve">, and a still-difficult but potentially inflecting</w:t>
      </w:r>
      <w:r>
        <w:t xml:space="preserve"> </w:t>
      </w:r>
      <w:r>
        <w:rPr>
          <w:b/>
          <w:bCs/>
        </w:rPr>
        <w:t xml:space="preserve">Beef</w:t>
      </w:r>
      <w:r>
        <w:t xml:space="preserve"> </w:t>
      </w:r>
      <w:r>
        <w:t xml:space="preserve">business.</w:t>
      </w:r>
    </w:p>
    <w:p>
      <w:pPr>
        <w:pStyle w:val="BodyText"/>
      </w:pPr>
      <w:r>
        <w:t xml:space="preserve">The most investable outcome would be a quarter that confirms three points:</w:t>
      </w:r>
    </w:p>
    <w:p>
      <w:pPr>
        <w:pStyle w:val="Compact"/>
        <w:numPr>
          <w:ilvl w:val="0"/>
          <w:numId w:val="1010"/>
        </w:numPr>
      </w:pPr>
      <w:r>
        <w:rPr>
          <w:b/>
          <w:bCs/>
        </w:rPr>
        <w:t xml:space="preserve">Chicken’s earnings power is sustainable and increasingly structural;</w:t>
      </w:r>
    </w:p>
    <w:p>
      <w:pPr>
        <w:pStyle w:val="Compact"/>
        <w:numPr>
          <w:ilvl w:val="0"/>
          <w:numId w:val="1010"/>
        </w:numPr>
      </w:pPr>
      <w:r>
        <w:rPr>
          <w:b/>
          <w:bCs/>
        </w:rPr>
        <w:t xml:space="preserve">Prepared Foods can compound volume, share, and high-teens-or-better profitability;</w:t>
      </w:r>
      <w:r>
        <w:t xml:space="preserve"> </w:t>
      </w:r>
      <w:r>
        <w:t xml:space="preserve">and</w:t>
      </w:r>
    </w:p>
    <w:p>
      <w:pPr>
        <w:pStyle w:val="Compact"/>
        <w:numPr>
          <w:ilvl w:val="0"/>
          <w:numId w:val="1010"/>
        </w:numPr>
      </w:pPr>
      <w:r>
        <w:rPr>
          <w:b/>
          <w:bCs/>
        </w:rPr>
        <w:t xml:space="preserve">Beef losses are moving decisively lower as footprint actions take hold.</w:t>
      </w:r>
    </w:p>
    <w:p>
      <w:pPr>
        <w:pStyle w:val="FirstParagraph"/>
      </w:pPr>
      <w:r>
        <w:t xml:space="preserve">At roughly</w:t>
      </w:r>
      <w:r>
        <w:t xml:space="preserve"> </w:t>
      </w:r>
      <w:r>
        <w:rPr>
          <w:b/>
          <w:bCs/>
        </w:rPr>
        <w:t xml:space="preserve">$0.99 expected adjusted EPS</w:t>
      </w:r>
      <w:r>
        <w:t xml:space="preserve">, the headline consensus is achievable if Tyson’s core execution remains intact. But the stock’s reaction will likely hinge less on the reported number and more on whether management gives investors enough evidence to underwrite a higher normalized earnings base beyond the current cattle-cycle headwind.</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2026-08-03T00:05:18Z</dcterms:created>
  <dcterms:modified xsi:type="dcterms:W3CDTF">2026-08-03T00:05:18Z</dcterms:modified>
</cp:coreProperties>
</file>

<file path=docProps/custom.xml><?xml version="1.0" encoding="utf-8"?>
<Properties xmlns="http://schemas.openxmlformats.org/officeDocument/2006/custom-properties" xmlns:vt="http://schemas.openxmlformats.org/officeDocument/2006/docPropsVTypes"/>
</file>