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n-earnings-predictions--2026-08-03"/>
    <w:p>
      <w:pPr>
        <w:pStyle w:val="Heading1"/>
      </w:pPr>
      <w:r>
        <w:t xml:space="preserve">TSN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Chicken Segment OI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~$510M vs. cons $469M (VA, Aug 2,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Beef Segment OI (Q3 FY2026)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210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171M (VA, Aug 2,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Adj. EPS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~$1.00 vs. cons $0.97 (VA, Aug 2,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Beef OI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500</m:t>
              </m:r>
              <m:r>
                <m:t>M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</m:oMath>
            <w:r>
              <w:t xml:space="preserve">450M vs. cons -$425M midpoint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Chicken OI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</w:t>
            </w:r>
            <w:r>
              <w:t xml:space="preserve"> </w:t>
            </w:r>
            <m:oMath>
              <m:r>
                <m:t>1.9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2.05B vs. cons $1.975B midpoint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AOI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toward lower end ~</w:t>
            </w:r>
            <m:oMath>
              <m:r>
                <m:t>2.2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2.3B vs. cons $2.3B midpoint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models Beef FY cut post-call, pulling estimates and stock lower over the week; de-rate cushion limits downside vs. prior C-archetype instances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2026-08-04T02:00:46Z</dcterms:created>
  <dcterms:modified xsi:type="dcterms:W3CDTF">2026-08-04T02:00:46Z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