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Tyson Foods, Inc. (TSN)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Tyson Foods, Inc.</w:t>
            </w:r>
          </w:p>
        </w:tc>
        <w:tc>
          <w:tcPr>
            <w:tcW w:type="dxa" w:w="2160"/>
          </w:tcPr>
          <w:p>
            <w:r>
              <w:rPr>
                <w:rFonts w:ascii="Calibri" w:hAnsi="Calibri"/>
                <w:b/>
                <w:sz w:val="22"/>
              </w:rPr>
              <w:t>Ticker</w:t>
            </w:r>
          </w:p>
        </w:tc>
        <w:tc>
          <w:tcPr>
            <w:tcW w:type="dxa" w:w="2160"/>
          </w:tcPr>
          <w:p>
            <w:r>
              <w:rPr>
                <w:rFonts w:ascii="Calibri" w:hAnsi="Calibri"/>
                <w:sz w:val="22"/>
              </w:rPr>
              <w:t>TSN</w:t>
            </w:r>
          </w:p>
        </w:tc>
      </w:tr>
      <w:tr>
        <w:tc>
          <w:tcPr>
            <w:tcW w:type="dxa" w:w="2160"/>
          </w:tcPr>
          <w:p>
            <w:r>
              <w:rPr>
                <w:rFonts w:ascii="Calibri" w:hAnsi="Calibri"/>
                <w:b/>
                <w:sz w:val="22"/>
              </w:rPr>
              <w:t>Reporting Period</w:t>
            </w:r>
          </w:p>
        </w:tc>
        <w:tc>
          <w:tcPr>
            <w:tcW w:type="dxa" w:w="2160"/>
          </w:tcPr>
          <w:p>
            <w:r>
              <w:rPr>
                <w:rFonts w:ascii="Calibri" w:hAnsi="Calibri"/>
                <w:sz w:val="22"/>
              </w:rPr>
              <w:t>Q3 FY2026 (fiscal quarter ending June 27, 2026)</w:t>
            </w:r>
          </w:p>
        </w:tc>
        <w:tc>
          <w:tcPr>
            <w:tcW w:type="dxa" w:w="2160"/>
          </w:tcPr>
          <w:p>
            <w:r>
              <w:rPr>
                <w:rFonts w:ascii="Calibri" w:hAnsi="Calibri"/>
                <w:b/>
                <w:sz w:val="22"/>
              </w:rPr>
              <w:t>Prepared Date</w:t>
            </w:r>
          </w:p>
        </w:tc>
        <w:tc>
          <w:tcPr>
            <w:tcW w:type="dxa" w:w="2160"/>
          </w:tcPr>
          <w:p>
            <w:r>
              <w:rPr>
                <w:rFonts w:ascii="Calibri" w:hAnsi="Calibri"/>
                <w:sz w:val="22"/>
              </w:rPr>
              <w:t>August 2, 2026</w:t>
            </w:r>
          </w:p>
        </w:tc>
      </w:tr>
      <w:tr>
        <w:tc>
          <w:tcPr>
            <w:tcW w:type="dxa" w:w="2160"/>
          </w:tcPr>
          <w:p>
            <w:r>
              <w:rPr>
                <w:rFonts w:ascii="Calibri" w:hAnsi="Calibri"/>
                <w:b/>
                <w:sz w:val="22"/>
              </w:rPr>
              <w:t>Expected Earnings Date</w:t>
            </w:r>
          </w:p>
        </w:tc>
        <w:tc>
          <w:tcPr>
            <w:tcW w:type="dxa" w:w="2160"/>
          </w:tcPr>
          <w:p>
            <w:r>
              <w:rPr>
                <w:rFonts w:ascii="Calibri" w:hAnsi="Calibri"/>
                <w:sz w:val="22"/>
              </w:rPr>
              <w:t>Early August 2026 (Q3 FY2026 Earnings Call)</w:t>
            </w:r>
          </w:p>
        </w:tc>
        <w:tc>
          <w:tcPr>
            <w:tcW w:type="dxa" w:w="2160"/>
          </w:tcPr>
          <w:p>
            <w:r>
              <w:rPr>
                <w:rFonts w:ascii="Calibri" w:hAnsi="Calibri"/>
                <w:b/>
                <w:sz w:val="22"/>
              </w:rPr>
              <w:t>Sector ETF Benchmark</w:t>
            </w:r>
          </w:p>
        </w:tc>
        <w:tc>
          <w:tcPr>
            <w:tcW w:type="dxa" w:w="2160"/>
          </w:tcPr>
          <w:p>
            <w:r>
              <w:rPr>
                <w:rFonts w:ascii="Calibri" w:hAnsi="Calibri"/>
                <w:sz w:val="22"/>
              </w:rPr>
              <w:t>XLP (Consumer Staples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TSN Q3 FY2026 is constructive but not without risk — consensus is a manageable bar on Chicken (the primary swing factor), Beef losses are expected to narrow sequentially, and management guided explicitly to a back half "as good as or better than the first half" in Chicken; the biggest wildcard is whether the commodity chicken market softness flagged by Pilgrim's Pride (PPC) in its Q2 print bleeds into TSN's Q3 results.</w:t>
      </w:r>
    </w:p>
    <w:p>
      <w:r>
        <w:rPr>
          <w:rFonts w:ascii="Calibri" w:hAnsi="Calibri"/>
          <w:color w:val="525866"/>
          <w:sz w:val="22"/>
        </w:rPr>
        <w:t xml:space="preserve">Heading into the Q3 FY2026 print, the setup for Tyson Foods is cautiously positive, anchored by management's own guidance that the Chicken segment's back half would be "as good as or better than the first half" — a high bar given Q1 and Q2 Chicken OI of $450M and $505M, respectively, against a Q3 consensus of ~$469M. </w:t>
      </w:r>
      <w:r>
        <w:rPr>
          <w:rFonts w:ascii="Calibri" w:hAnsi="Calibri"/>
          <w:b/>
          <w:color w:val="525866"/>
          <w:sz w:val="22"/>
        </w:rPr>
        <w:t>The bar on Chicken is not demanding</w:t>
      </w:r>
      <w:r>
        <w:rPr>
          <w:rFonts w:ascii="Calibri" w:hAnsi="Calibri"/>
          <w:color w:val="525866"/>
          <w:sz w:val="22"/>
        </w:rPr>
        <w:t xml:space="preserve"> relative to the trajectory, and the genetics business (contributing ~1/3 of the year-over-year improvement in Q2) is a structural tailwind that should persist. Beef remains the drag — guidance implies a full-year loss of $350M–$500M, and Q3 will be the first full quarter operating within the reduced footprint (Lexington closed, Amarillo on single shift), which management expects to drive sequentially lower losses versus the front half. </w:t>
      </w:r>
      <w:r>
        <w:rPr>
          <w:rFonts w:ascii="Calibri" w:hAnsi="Calibri"/>
          <w:b/>
          <w:color w:val="525866"/>
          <w:sz w:val="22"/>
        </w:rPr>
        <w:t>Estimate revisions have been modestly positive since the Q2 print</w:t>
      </w:r>
      <w:r>
        <w:rPr>
          <w:rFonts w:ascii="Calibri" w:hAnsi="Calibri"/>
          <w:color w:val="525866"/>
          <w:sz w:val="22"/>
        </w:rPr>
        <w:t xml:space="preserve"> (Q3 EPS consensus moved from $0.97 to $1.05 post-earnings), suggesting the Street is giving credit to the raised guidance. The stock, however, has given back all of its post-earnings gains and then some — down ~16% since May 4 vs. XLP flat and SPY +4% — suggesting the market is skeptical of Chicken margin sustainability and/or concerned about the governance noise (COO departure, John Tyson's $40M bonus). The key wildcard is </w:t>
      </w:r>
      <w:r>
        <w:rPr>
          <w:rFonts w:ascii="Calibri" w:hAnsi="Calibri"/>
          <w:b/>
          <w:color w:val="525866"/>
          <w:sz w:val="22"/>
        </w:rPr>
        <w:t>commodity chicken market dynamics</w:t>
      </w:r>
      <w:r>
        <w:rPr>
          <w:rFonts w:ascii="Calibri" w:hAnsi="Calibri"/>
          <w:color w:val="525866"/>
          <w:sz w:val="22"/>
        </w:rPr>
        <w:t>: PPC's Q2 print flagged a 27% drop in jumbo cutout values and 4.5% supply growth, which could pressure TSN's Chicken pricing in Q3 even as operational execution remains strong.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heading into Q3 — Chicken OI consensus of ~$469M sits below the Q1/Q2 run-rate of $450M–$505M, and the full-year guidance raise implies the Street has room to be surprised to the upside. </w:t>
      </w:r>
      <w:r>
        <w:rPr>
          <w:rFonts w:ascii="Calibri" w:hAnsi="Calibri"/>
          <w:b/>
          <w:color w:val="525866"/>
          <w:sz w:val="22"/>
        </w:rPr>
        <w:t>Beef losses and Prepared Foods margin trajectory are the secondary swing factors.</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(Sales)</w:t>
            </w:r>
          </w:p>
        </w:tc>
        <w:tc>
          <w:tcPr>
            <w:tcW w:type="dxa" w:w="1234"/>
          </w:tcPr>
          <w:p>
            <w:r>
              <w:rPr>
                <w:rFonts w:ascii="Calibri" w:hAnsi="Calibri"/>
                <w:sz w:val="22"/>
              </w:rPr>
              <w:t>$13.65B</w:t>
            </w:r>
          </w:p>
        </w:tc>
        <w:tc>
          <w:tcPr>
            <w:tcW w:type="dxa" w:w="1234"/>
          </w:tcPr>
          <w:p>
            <w:r>
              <w:rPr>
                <w:rFonts w:ascii="Calibri" w:hAnsi="Calibri"/>
                <w:sz w:val="22"/>
              </w:rPr>
              <w:t>$13.88B</w:t>
            </w:r>
          </w:p>
        </w:tc>
        <w:tc>
          <w:tcPr>
            <w:tcW w:type="dxa" w:w="1234"/>
          </w:tcPr>
          <w:p>
            <w:r>
              <w:rPr>
                <w:rFonts w:ascii="Calibri" w:hAnsi="Calibri"/>
                <w:sz w:val="22"/>
              </w:rPr>
              <w:t>$14.01B</w:t>
            </w:r>
          </w:p>
        </w:tc>
        <w:tc>
          <w:tcPr>
            <w:tcW w:type="dxa" w:w="1234"/>
          </w:tcPr>
          <w:p>
            <w:r>
              <w:rPr>
                <w:rFonts w:ascii="Calibri" w:hAnsi="Calibri"/>
                <w:sz w:val="22"/>
              </w:rPr>
              <w:t>+0.9% YoY</w:t>
            </w:r>
          </w:p>
        </w:tc>
        <w:tc>
          <w:tcPr>
            <w:tcW w:type="dxa" w:w="1234"/>
          </w:tcPr>
          <w:p>
            <w:r>
              <w:rPr>
                <w:rFonts w:ascii="Calibri" w:hAnsi="Calibri"/>
                <w:sz w:val="22"/>
              </w:rPr>
              <w:t>Up 2%–4% FY (vs. FY2025)</w:t>
            </w:r>
          </w:p>
        </w:tc>
        <w:tc>
          <w:tcPr>
            <w:tcW w:type="dxa" w:w="1234"/>
          </w:tcPr>
          <w:p>
            <w:r>
              <w:rPr>
                <w:rFonts w:ascii="Calibri" w:hAnsi="Calibri"/>
                <w:sz w:val="22"/>
              </w:rPr>
              <w:t>N/A (quarterly vs. FY guide)</w:t>
            </w:r>
          </w:p>
        </w:tc>
      </w:tr>
      <w:tr>
        <w:tc>
          <w:tcPr>
            <w:tcW w:type="dxa" w:w="1234"/>
          </w:tcPr>
          <w:p>
            <w:r>
              <w:rPr>
                <w:rFonts w:ascii="Calibri" w:hAnsi="Calibri"/>
                <w:sz w:val="22"/>
              </w:rPr>
              <w:t>Diluted EPS — Operating (Adj.)</w:t>
            </w:r>
          </w:p>
        </w:tc>
        <w:tc>
          <w:tcPr>
            <w:tcW w:type="dxa" w:w="1234"/>
          </w:tcPr>
          <w:p>
            <w:r>
              <w:rPr>
                <w:rFonts w:ascii="Calibri" w:hAnsi="Calibri"/>
                <w:sz w:val="22"/>
              </w:rPr>
              <w:t>$0.87</w:t>
            </w:r>
          </w:p>
        </w:tc>
        <w:tc>
          <w:tcPr>
            <w:tcW w:type="dxa" w:w="1234"/>
          </w:tcPr>
          <w:p>
            <w:r>
              <w:rPr>
                <w:rFonts w:ascii="Calibri" w:hAnsi="Calibri"/>
                <w:sz w:val="22"/>
              </w:rPr>
              <w:t>$0.91</w:t>
            </w:r>
          </w:p>
        </w:tc>
        <w:tc>
          <w:tcPr>
            <w:tcW w:type="dxa" w:w="1234"/>
          </w:tcPr>
          <w:p>
            <w:r>
              <w:rPr>
                <w:rFonts w:ascii="Calibri" w:hAnsi="Calibri"/>
                <w:sz w:val="22"/>
              </w:rPr>
              <w:t>$1.05</w:t>
            </w:r>
          </w:p>
        </w:tc>
        <w:tc>
          <w:tcPr>
            <w:tcW w:type="dxa" w:w="1234"/>
          </w:tcPr>
          <w:p>
            <w:r>
              <w:rPr>
                <w:rFonts w:ascii="Calibri" w:hAnsi="Calibri"/>
                <w:sz w:val="22"/>
              </w:rPr>
              <w:t>+15.4% YoY</w:t>
            </w:r>
          </w:p>
        </w:tc>
        <w:tc>
          <w:tcPr>
            <w:tcW w:type="dxa" w:w="1234"/>
          </w:tcPr>
          <w:p>
            <w:r>
              <w:rPr>
                <w:rFonts w:ascii="Calibri" w:hAnsi="Calibri"/>
                <w:sz w:val="22"/>
              </w:rPr>
              <w:t>Implied by $2.2B–$2.4B AOI guide</w:t>
            </w:r>
          </w:p>
        </w:tc>
        <w:tc>
          <w:tcPr>
            <w:tcW w:type="dxa" w:w="1234"/>
          </w:tcPr>
          <w:p>
            <w:r>
              <w:rPr>
                <w:rFonts w:ascii="Calibri" w:hAnsi="Calibri"/>
                <w:sz w:val="22"/>
              </w:rPr>
              <w:t>N/A (quarterly vs. FY guide)</w:t>
            </w:r>
          </w:p>
        </w:tc>
      </w:tr>
      <w:tr>
        <w:tc>
          <w:tcPr>
            <w:tcW w:type="dxa" w:w="1234"/>
          </w:tcPr>
          <w:p>
            <w:r>
              <w:rPr>
                <w:rFonts w:ascii="Calibri" w:hAnsi="Calibri"/>
                <w:sz w:val="22"/>
              </w:rPr>
              <w:t>Chicken Segment OI</w:t>
            </w:r>
          </w:p>
        </w:tc>
        <w:tc>
          <w:tcPr>
            <w:tcW w:type="dxa" w:w="1234"/>
          </w:tcPr>
          <w:p>
            <w:r>
              <w:rPr>
                <w:rFonts w:ascii="Calibri" w:hAnsi="Calibri"/>
                <w:sz w:val="22"/>
              </w:rPr>
              <w:t>$505M</w:t>
            </w:r>
          </w:p>
        </w:tc>
        <w:tc>
          <w:tcPr>
            <w:tcW w:type="dxa" w:w="1234"/>
          </w:tcPr>
          <w:p>
            <w:r>
              <w:rPr>
                <w:rFonts w:ascii="Calibri" w:hAnsi="Calibri"/>
                <w:sz w:val="22"/>
              </w:rPr>
              <w:t>$475M</w:t>
            </w:r>
          </w:p>
        </w:tc>
        <w:tc>
          <w:tcPr>
            <w:tcW w:type="dxa" w:w="1234"/>
          </w:tcPr>
          <w:p>
            <w:r>
              <w:rPr>
                <w:rFonts w:ascii="Calibri" w:hAnsi="Calibri"/>
                <w:sz w:val="22"/>
              </w:rPr>
              <w:t>$469M</w:t>
            </w:r>
          </w:p>
        </w:tc>
        <w:tc>
          <w:tcPr>
            <w:tcW w:type="dxa" w:w="1234"/>
          </w:tcPr>
          <w:p>
            <w:r>
              <w:rPr>
                <w:rFonts w:ascii="Calibri" w:hAnsi="Calibri"/>
                <w:sz w:val="22"/>
              </w:rPr>
              <w:t>-1.3% YoY</w:t>
            </w:r>
          </w:p>
        </w:tc>
        <w:tc>
          <w:tcPr>
            <w:tcW w:type="dxa" w:w="1234"/>
          </w:tcPr>
          <w:p>
            <w:r>
              <w:rPr>
                <w:rFonts w:ascii="Calibri" w:hAnsi="Calibri"/>
                <w:sz w:val="22"/>
              </w:rPr>
              <w:t>$1.9B–$2.05B FY (raised +$200M at midpoint)</w:t>
            </w:r>
          </w:p>
        </w:tc>
        <w:tc>
          <w:tcPr>
            <w:tcW w:type="dxa" w:w="1234"/>
          </w:tcPr>
          <w:p>
            <w:r>
              <w:rPr>
                <w:rFonts w:ascii="Calibri" w:hAnsi="Calibri"/>
                <w:sz w:val="22"/>
              </w:rPr>
              <w:t>Q3 cons. ~$469M vs. implied ~$475M–$500M back-half run-rate; slight cushion</w:t>
            </w:r>
          </w:p>
        </w:tc>
      </w:tr>
      <w:tr>
        <w:tc>
          <w:tcPr>
            <w:tcW w:type="dxa" w:w="1234"/>
          </w:tcPr>
          <w:p>
            <w:r>
              <w:rPr>
                <w:rFonts w:ascii="Calibri" w:hAnsi="Calibri"/>
                <w:sz w:val="22"/>
              </w:rPr>
              <w:t>Beef Segment OI</w:t>
            </w:r>
          </w:p>
        </w:tc>
        <w:tc>
          <w:tcPr>
            <w:tcW w:type="dxa" w:w="1234"/>
          </w:tcPr>
          <w:p>
            <w:r>
              <w:rPr>
                <w:rFonts w:ascii="Calibri" w:hAnsi="Calibri"/>
                <w:sz w:val="22"/>
              </w:rPr>
              <w:t>-$240M</w:t>
            </w:r>
          </w:p>
        </w:tc>
        <w:tc>
          <w:tcPr>
            <w:tcW w:type="dxa" w:w="1234"/>
          </w:tcPr>
          <w:p>
            <w:r>
              <w:rPr>
                <w:rFonts w:ascii="Calibri" w:hAnsi="Calibri"/>
                <w:sz w:val="22"/>
              </w:rPr>
              <w:t>-$459M</w:t>
            </w:r>
          </w:p>
        </w:tc>
        <w:tc>
          <w:tcPr>
            <w:tcW w:type="dxa" w:w="1234"/>
          </w:tcPr>
          <w:p>
            <w:r>
              <w:rPr>
                <w:rFonts w:ascii="Calibri" w:hAnsi="Calibri"/>
                <w:sz w:val="22"/>
              </w:rPr>
              <w:t>-$171M</w:t>
            </w:r>
          </w:p>
        </w:tc>
        <w:tc>
          <w:tcPr>
            <w:tcW w:type="dxa" w:w="1234"/>
          </w:tcPr>
          <w:p>
            <w:r>
              <w:rPr>
                <w:rFonts w:ascii="Calibri" w:hAnsi="Calibri"/>
                <w:sz w:val="22"/>
              </w:rPr>
              <w:t>Loss narrows significantly YoY</w:t>
            </w:r>
          </w:p>
        </w:tc>
        <w:tc>
          <w:tcPr>
            <w:tcW w:type="dxa" w:w="1234"/>
          </w:tcPr>
          <w:p>
            <w:r>
              <w:rPr>
                <w:rFonts w:ascii="Calibri" w:hAnsi="Calibri"/>
                <w:sz w:val="22"/>
              </w:rPr>
              <w:t>Loss of $350M–$500M FY; back half &lt; front half</w:t>
            </w:r>
          </w:p>
        </w:tc>
        <w:tc>
          <w:tcPr>
            <w:tcW w:type="dxa" w:w="1234"/>
          </w:tcPr>
          <w:p>
            <w:r>
              <w:rPr>
                <w:rFonts w:ascii="Calibri" w:hAnsi="Calibri"/>
                <w:sz w:val="22"/>
              </w:rPr>
              <w:t>Consensus implies ~-$171M; within guidance range</w:t>
            </w:r>
          </w:p>
        </w:tc>
      </w:tr>
      <w:tr>
        <w:tc>
          <w:tcPr>
            <w:tcW w:type="dxa" w:w="1234"/>
          </w:tcPr>
          <w:p>
            <w:r>
              <w:rPr>
                <w:rFonts w:ascii="Calibri" w:hAnsi="Calibri"/>
                <w:sz w:val="22"/>
              </w:rPr>
              <w:t>Prepared Foods Segment OI</w:t>
            </w:r>
          </w:p>
        </w:tc>
        <w:tc>
          <w:tcPr>
            <w:tcW w:type="dxa" w:w="1234"/>
          </w:tcPr>
          <w:p>
            <w:r>
              <w:rPr>
                <w:rFonts w:ascii="Calibri" w:hAnsi="Calibri"/>
                <w:sz w:val="22"/>
              </w:rPr>
              <w:t>$348M</w:t>
            </w:r>
          </w:p>
        </w:tc>
        <w:tc>
          <w:tcPr>
            <w:tcW w:type="dxa" w:w="1234"/>
          </w:tcPr>
          <w:p>
            <w:r>
              <w:rPr>
                <w:rFonts w:ascii="Calibri" w:hAnsi="Calibri"/>
                <w:sz w:val="22"/>
              </w:rPr>
              <w:t>$390M</w:t>
            </w:r>
          </w:p>
        </w:tc>
        <w:tc>
          <w:tcPr>
            <w:tcW w:type="dxa" w:w="1234"/>
          </w:tcPr>
          <w:p>
            <w:r>
              <w:rPr>
                <w:rFonts w:ascii="Calibri" w:hAnsi="Calibri"/>
                <w:sz w:val="22"/>
              </w:rPr>
              <w:t>$309M</w:t>
            </w:r>
          </w:p>
        </w:tc>
        <w:tc>
          <w:tcPr>
            <w:tcW w:type="dxa" w:w="1234"/>
          </w:tcPr>
          <w:p>
            <w:r>
              <w:rPr>
                <w:rFonts w:ascii="Calibri" w:hAnsi="Calibri"/>
                <w:sz w:val="22"/>
              </w:rPr>
              <w:t>-20.8% YoY</w:t>
            </w:r>
          </w:p>
        </w:tc>
        <w:tc>
          <w:tcPr>
            <w:tcW w:type="dxa" w:w="1234"/>
          </w:tcPr>
          <w:p>
            <w:r>
              <w:rPr>
                <w:rFonts w:ascii="Calibri" w:hAnsi="Calibri"/>
                <w:sz w:val="22"/>
              </w:rPr>
              <w:t>$1.25B–$1.35B FY (unchanged)</w:t>
            </w:r>
          </w:p>
        </w:tc>
        <w:tc>
          <w:tcPr>
            <w:tcW w:type="dxa" w:w="1234"/>
          </w:tcPr>
          <w:p>
            <w:r>
              <w:rPr>
                <w:rFonts w:ascii="Calibri" w:hAnsi="Calibri"/>
                <w:sz w:val="22"/>
              </w:rPr>
              <w:t>Q3 cons. ~$309M; implies ~$330M+ in Q4 to hit FY midpoint</w:t>
            </w:r>
          </w:p>
        </w:tc>
      </w:tr>
      <w:tr>
        <w:tc>
          <w:tcPr>
            <w:tcW w:type="dxa" w:w="1234"/>
          </w:tcPr>
          <w:p>
            <w:r>
              <w:rPr>
                <w:rFonts w:ascii="Calibri" w:hAnsi="Calibri"/>
                <w:sz w:val="22"/>
              </w:rPr>
              <w:t>Pork Segment OI</w:t>
            </w:r>
          </w:p>
        </w:tc>
        <w:tc>
          <w:tcPr>
            <w:tcW w:type="dxa" w:w="1234"/>
          </w:tcPr>
          <w:p>
            <w:r>
              <w:rPr>
                <w:rFonts w:ascii="Calibri" w:hAnsi="Calibri"/>
                <w:sz w:val="22"/>
              </w:rPr>
              <w:t>$41M</w:t>
            </w:r>
          </w:p>
        </w:tc>
        <w:tc>
          <w:tcPr>
            <w:tcW w:type="dxa" w:w="1234"/>
          </w:tcPr>
          <w:p>
            <w:r>
              <w:rPr>
                <w:rFonts w:ascii="Calibri" w:hAnsi="Calibri"/>
                <w:sz w:val="22"/>
              </w:rPr>
              <w:t>$50M</w:t>
            </w:r>
          </w:p>
        </w:tc>
        <w:tc>
          <w:tcPr>
            <w:tcW w:type="dxa" w:w="1234"/>
          </w:tcPr>
          <w:p>
            <w:r>
              <w:rPr>
                <w:rFonts w:ascii="Calibri" w:hAnsi="Calibri"/>
                <w:sz w:val="22"/>
              </w:rPr>
              <w:t>$52M</w:t>
            </w:r>
          </w:p>
        </w:tc>
        <w:tc>
          <w:tcPr>
            <w:tcW w:type="dxa" w:w="1234"/>
          </w:tcPr>
          <w:p>
            <w:r>
              <w:rPr>
                <w:rFonts w:ascii="Calibri" w:hAnsi="Calibri"/>
                <w:sz w:val="22"/>
              </w:rPr>
              <w:t>+4.0% YoY</w:t>
            </w:r>
          </w:p>
        </w:tc>
        <w:tc>
          <w:tcPr>
            <w:tcW w:type="dxa" w:w="1234"/>
          </w:tcPr>
          <w:p>
            <w:r>
              <w:rPr>
                <w:rFonts w:ascii="Calibri" w:hAnsi="Calibri"/>
                <w:sz w:val="22"/>
              </w:rPr>
              <w:t>$250M–$300M FY (unchanged)</w:t>
            </w:r>
          </w:p>
        </w:tc>
        <w:tc>
          <w:tcPr>
            <w:tcW w:type="dxa" w:w="1234"/>
          </w:tcPr>
          <w:p>
            <w:r>
              <w:rPr>
                <w:rFonts w:ascii="Calibri" w:hAnsi="Calibri"/>
                <w:sz w:val="22"/>
              </w:rPr>
              <w:t>Consensus in line with guidance run-rate</w:t>
            </w:r>
          </w:p>
        </w:tc>
      </w:tr>
      <w:tr>
        <w:tc>
          <w:tcPr>
            <w:tcW w:type="dxa" w:w="1234"/>
          </w:tcPr>
          <w:p>
            <w:r>
              <w:rPr>
                <w:rFonts w:ascii="Calibri" w:hAnsi="Calibri"/>
                <w:sz w:val="22"/>
              </w:rPr>
              <w:t>Operating EBITDA (Adj.)</w:t>
            </w:r>
          </w:p>
        </w:tc>
        <w:tc>
          <w:tcPr>
            <w:tcW w:type="dxa" w:w="1234"/>
          </w:tcPr>
          <w:p>
            <w:r>
              <w:rPr>
                <w:rFonts w:ascii="Calibri" w:hAnsi="Calibri"/>
                <w:sz w:val="22"/>
              </w:rPr>
              <w:t>$847M</w:t>
            </w:r>
          </w:p>
        </w:tc>
        <w:tc>
          <w:tcPr>
            <w:tcW w:type="dxa" w:w="1234"/>
          </w:tcPr>
          <w:p>
            <w:r>
              <w:rPr>
                <w:rFonts w:ascii="Calibri" w:hAnsi="Calibri"/>
                <w:sz w:val="22"/>
              </w:rPr>
              <w:t>$834M</w:t>
            </w:r>
          </w:p>
        </w:tc>
        <w:tc>
          <w:tcPr>
            <w:tcW w:type="dxa" w:w="1234"/>
          </w:tcPr>
          <w:p>
            <w:r>
              <w:rPr>
                <w:rFonts w:ascii="Calibri" w:hAnsi="Calibri"/>
                <w:sz w:val="22"/>
              </w:rPr>
              <w:t>$872M</w:t>
            </w:r>
          </w:p>
        </w:tc>
        <w:tc>
          <w:tcPr>
            <w:tcW w:type="dxa" w:w="1234"/>
          </w:tcPr>
          <w:p>
            <w:r>
              <w:rPr>
                <w:rFonts w:ascii="Calibri" w:hAnsi="Calibri"/>
                <w:sz w:val="22"/>
              </w:rPr>
              <w:t>+4.6% YoY</w:t>
            </w:r>
          </w:p>
        </w:tc>
        <w:tc>
          <w:tcPr>
            <w:tcW w:type="dxa" w:w="1234"/>
          </w:tcPr>
          <w:p>
            <w:r>
              <w:rPr>
                <w:rFonts w:ascii="Calibri" w:hAnsi="Calibri"/>
                <w:sz w:val="22"/>
              </w:rPr>
              <w:t>Implied by $2.2B–$2.4B AOI guide</w:t>
            </w:r>
          </w:p>
        </w:tc>
        <w:tc>
          <w:tcPr>
            <w:tcW w:type="dxa" w:w="1234"/>
          </w:tcPr>
          <w:p>
            <w:r>
              <w:rPr>
                <w:rFonts w:ascii="Calibri" w:hAnsi="Calibri"/>
                <w:sz w:val="22"/>
              </w:rPr>
              <w:t>N/A (quarterly vs. FY guide)</w:t>
            </w:r>
          </w:p>
        </w:tc>
      </w:tr>
      <w:tr>
        <w:tc>
          <w:tcPr>
            <w:tcW w:type="dxa" w:w="1234"/>
          </w:tcPr>
          <w:p>
            <w:r>
              <w:rPr>
                <w:rFonts w:ascii="Calibri" w:hAnsi="Calibri"/>
                <w:sz w:val="22"/>
              </w:rPr>
              <w:t>Free Cash Flow</w:t>
            </w:r>
          </w:p>
        </w:tc>
        <w:tc>
          <w:tcPr>
            <w:tcW w:type="dxa" w:w="1234"/>
          </w:tcPr>
          <w:p>
            <w:r>
              <w:rPr>
                <w:rFonts w:ascii="Calibri" w:hAnsi="Calibri"/>
                <w:sz w:val="22"/>
              </w:rPr>
              <w:t>-$258M</w:t>
            </w:r>
          </w:p>
        </w:tc>
        <w:tc>
          <w:tcPr>
            <w:tcW w:type="dxa" w:w="1234"/>
          </w:tcPr>
          <w:p>
            <w:r>
              <w:rPr>
                <w:rFonts w:ascii="Calibri" w:hAnsi="Calibri"/>
                <w:sz w:val="22"/>
              </w:rPr>
              <w:t>$547M</w:t>
            </w:r>
          </w:p>
        </w:tc>
        <w:tc>
          <w:tcPr>
            <w:tcW w:type="dxa" w:w="1234"/>
          </w:tcPr>
          <w:p>
            <w:r>
              <w:rPr>
                <w:rFonts w:ascii="Calibri" w:hAnsi="Calibri"/>
                <w:sz w:val="22"/>
              </w:rPr>
              <w:t>$425M</w:t>
            </w:r>
          </w:p>
        </w:tc>
        <w:tc>
          <w:tcPr>
            <w:tcW w:type="dxa" w:w="1234"/>
          </w:tcPr>
          <w:p>
            <w:r>
              <w:rPr>
                <w:rFonts w:ascii="Calibri" w:hAnsi="Calibri"/>
                <w:sz w:val="22"/>
              </w:rPr>
              <w:t>N/A (seasonal pattern)</w:t>
            </w:r>
          </w:p>
        </w:tc>
        <w:tc>
          <w:tcPr>
            <w:tcW w:type="dxa" w:w="1234"/>
          </w:tcPr>
          <w:p>
            <w:r>
              <w:rPr>
                <w:rFonts w:ascii="Calibri" w:hAnsi="Calibri"/>
                <w:sz w:val="22"/>
              </w:rPr>
              <w:t>$1.2B–$1.8B FY (raised)</w:t>
            </w:r>
          </w:p>
        </w:tc>
        <w:tc>
          <w:tcPr>
            <w:tcW w:type="dxa" w:w="1234"/>
          </w:tcPr>
          <w:p>
            <w:r>
              <w:rPr>
                <w:rFonts w:ascii="Calibri" w:hAnsi="Calibri"/>
                <w:sz w:val="22"/>
              </w:rPr>
              <w:t>Q3 cons. $425M; consistent with FY guide</w:t>
            </w:r>
          </w:p>
        </w:tc>
      </w:tr>
    </w:tbl>
    <w:p>
      <w:r>
        <w:rPr>
          <w:rFonts w:ascii="Calibri" w:hAnsi="Calibri"/>
          <w:i/>
          <w:color w:val="525866"/>
          <w:sz w:val="22"/>
        </w:rPr>
        <w:t>Source: Visible Alpha consensus and actuals data. All segment OI figures in USD millions. Q3 FY2026 consensus as of August 2, 2026. Q2 FY2026 actuals reported May 4, 2026. Q3 FY2025 actuals reported July 2025.</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Chicken Segment Operating Income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$347M</w:t>
            </w:r>
          </w:p>
        </w:tc>
        <w:tc>
          <w:tcPr>
            <w:tcW w:type="dxa" w:w="1728"/>
          </w:tcPr>
          <w:p>
            <w:r>
              <w:rPr>
                <w:rFonts w:ascii="Calibri" w:hAnsi="Calibri"/>
                <w:sz w:val="22"/>
              </w:rPr>
              <w:t>$130M</w:t>
            </w:r>
          </w:p>
        </w:tc>
        <w:tc>
          <w:tcPr>
            <w:tcW w:type="dxa" w:w="1728"/>
          </w:tcPr>
          <w:p>
            <w:r>
              <w:rPr>
                <w:rFonts w:ascii="Calibri" w:hAnsi="Calibri"/>
                <w:sz w:val="22"/>
              </w:rPr>
              <w:t>+167%</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$499M</w:t>
            </w:r>
          </w:p>
        </w:tc>
        <w:tc>
          <w:tcPr>
            <w:tcW w:type="dxa" w:w="1728"/>
          </w:tcPr>
          <w:p>
            <w:r>
              <w:rPr>
                <w:rFonts w:ascii="Calibri" w:hAnsi="Calibri"/>
                <w:sz w:val="22"/>
              </w:rPr>
              <w:t>$247M</w:t>
            </w:r>
          </w:p>
        </w:tc>
        <w:tc>
          <w:tcPr>
            <w:tcW w:type="dxa" w:w="1728"/>
          </w:tcPr>
          <w:p>
            <w:r>
              <w:rPr>
                <w:rFonts w:ascii="Calibri" w:hAnsi="Calibri"/>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$460M</w:t>
            </w:r>
          </w:p>
        </w:tc>
        <w:tc>
          <w:tcPr>
            <w:tcW w:type="dxa" w:w="1728"/>
          </w:tcPr>
          <w:p>
            <w:r>
              <w:rPr>
                <w:rFonts w:ascii="Calibri" w:hAnsi="Calibri"/>
                <w:sz w:val="22"/>
              </w:rPr>
              <w:t>$236M</w:t>
            </w:r>
          </w:p>
        </w:tc>
        <w:tc>
          <w:tcPr>
            <w:tcW w:type="dxa" w:w="1728"/>
          </w:tcPr>
          <w:p>
            <w:r>
              <w:rPr>
                <w:rFonts w:ascii="Calibri" w:hAnsi="Calibri"/>
                <w:sz w:val="22"/>
              </w:rPr>
              <w:t>+95%</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$367M</w:t>
            </w:r>
          </w:p>
        </w:tc>
        <w:tc>
          <w:tcPr>
            <w:tcW w:type="dxa" w:w="1728"/>
          </w:tcPr>
          <w:p>
            <w:r>
              <w:rPr>
                <w:rFonts w:ascii="Calibri" w:hAnsi="Calibri"/>
                <w:sz w:val="22"/>
              </w:rPr>
              <w:t>$255M</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$475M</w:t>
            </w:r>
          </w:p>
        </w:tc>
        <w:tc>
          <w:tcPr>
            <w:tcW w:type="dxa" w:w="1728"/>
          </w:tcPr>
          <w:p>
            <w:r>
              <w:rPr>
                <w:rFonts w:ascii="Calibri" w:hAnsi="Calibri"/>
                <w:sz w:val="22"/>
              </w:rPr>
              <w:t>$246M</w:t>
            </w:r>
          </w:p>
        </w:tc>
        <w:tc>
          <w:tcPr>
            <w:tcW w:type="dxa" w:w="1728"/>
          </w:tcPr>
          <w:p>
            <w:r>
              <w:rPr>
                <w:rFonts w:ascii="Calibri" w:hAnsi="Calibri"/>
                <w:sz w:val="22"/>
              </w:rPr>
              <w:t>+93%</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$558M</w:t>
            </w:r>
          </w:p>
        </w:tc>
        <w:tc>
          <w:tcPr>
            <w:tcW w:type="dxa" w:w="1728"/>
          </w:tcPr>
          <w:p>
            <w:r>
              <w:rPr>
                <w:rFonts w:ascii="Calibri" w:hAnsi="Calibri"/>
                <w:sz w:val="22"/>
              </w:rPr>
              <w:t>$330M</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$450M</w:t>
            </w:r>
          </w:p>
        </w:tc>
        <w:tc>
          <w:tcPr>
            <w:tcW w:type="dxa" w:w="1728"/>
          </w:tcPr>
          <w:p>
            <w:r>
              <w:rPr>
                <w:rFonts w:ascii="Calibri" w:hAnsi="Calibri"/>
                <w:sz w:val="22"/>
              </w:rPr>
              <w:t>$211M</w:t>
            </w:r>
          </w:p>
        </w:tc>
        <w:tc>
          <w:tcPr>
            <w:tcW w:type="dxa" w:w="1728"/>
          </w:tcPr>
          <w:p>
            <w:r>
              <w:rPr>
                <w:rFonts w:ascii="Calibri" w:hAnsi="Calibri"/>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$505M</w:t>
            </w:r>
          </w:p>
        </w:tc>
        <w:tc>
          <w:tcPr>
            <w:tcW w:type="dxa" w:w="1728"/>
          </w:tcPr>
          <w:p>
            <w:r>
              <w:rPr>
                <w:rFonts w:ascii="Calibri" w:hAnsi="Calibri"/>
                <w:sz w:val="22"/>
              </w:rPr>
              <w:t>$342M</w:t>
            </w:r>
          </w:p>
        </w:tc>
        <w:tc>
          <w:tcPr>
            <w:tcW w:type="dxa" w:w="1728"/>
          </w:tcPr>
          <w:p>
            <w:r>
              <w:rPr>
                <w:rFonts w:ascii="Calibri" w:hAnsi="Calibri"/>
                <w:sz w:val="22"/>
              </w:rPr>
              <w:t>+48%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TSN has beaten Chicken Segment OI consensus in every one of the last 8 quarters, with an average surprise of +91% — the Street has consistently underestimated the segment's operational leverage and the genetics business contribution. Consensus has been catching up (Q3 FY2026 estimate of $469M vs. $130M two years ago), but the beat streak is a strong prior.</w:t>
      </w:r>
    </w:p>
    <w:p>
      <w:pPr>
        <w:pStyle w:val="Heading4"/>
      </w:pPr>
      <w:r>
        <w:rPr>
          <w:rFonts w:ascii="Calibri" w:hAnsi="Calibri"/>
          <w:b/>
          <w:color w:val="3B4259"/>
          <w:sz w:val="22"/>
        </w:rPr>
        <w:t>Top KPI #2: Diluted EPS — Operating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$0.87</w:t>
            </w:r>
          </w:p>
        </w:tc>
        <w:tc>
          <w:tcPr>
            <w:tcW w:type="dxa" w:w="1728"/>
          </w:tcPr>
          <w:p>
            <w:r>
              <w:rPr>
                <w:rFonts w:ascii="Calibri" w:hAnsi="Calibri"/>
                <w:sz w:val="22"/>
              </w:rPr>
              <w:t>$0.64</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$0.92</w:t>
            </w:r>
          </w:p>
        </w:tc>
        <w:tc>
          <w:tcPr>
            <w:tcW w:type="dxa" w:w="1728"/>
          </w:tcPr>
          <w:p>
            <w:r>
              <w:rPr>
                <w:rFonts w:ascii="Calibri" w:hAnsi="Calibri"/>
                <w:sz w:val="22"/>
              </w:rPr>
              <w:t>$0.68</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$1.14</w:t>
            </w:r>
          </w:p>
        </w:tc>
        <w:tc>
          <w:tcPr>
            <w:tcW w:type="dxa" w:w="1728"/>
          </w:tcPr>
          <w:p>
            <w:r>
              <w:rPr>
                <w:rFonts w:ascii="Calibri" w:hAnsi="Calibri"/>
                <w:sz w:val="22"/>
              </w:rPr>
              <w:t>$0.86</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$0.92</w:t>
            </w:r>
          </w:p>
        </w:tc>
        <w:tc>
          <w:tcPr>
            <w:tcW w:type="dxa" w:w="1728"/>
          </w:tcPr>
          <w:p>
            <w:r>
              <w:rPr>
                <w:rFonts w:ascii="Calibri" w:hAnsi="Calibri"/>
                <w:sz w:val="22"/>
              </w:rPr>
              <w:t>$0.80</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$0.91</w:t>
            </w:r>
          </w:p>
        </w:tc>
        <w:tc>
          <w:tcPr>
            <w:tcW w:type="dxa" w:w="1728"/>
          </w:tcPr>
          <w:p>
            <w:r>
              <w:rPr>
                <w:rFonts w:ascii="Calibri" w:hAnsi="Calibri"/>
                <w:sz w:val="22"/>
              </w:rPr>
              <w:t>$0.77</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$1.15</w:t>
            </w:r>
          </w:p>
        </w:tc>
        <w:tc>
          <w:tcPr>
            <w:tcW w:type="dxa" w:w="1728"/>
          </w:tcPr>
          <w:p>
            <w:r>
              <w:rPr>
                <w:rFonts w:ascii="Calibri" w:hAnsi="Calibri"/>
                <w:sz w:val="22"/>
              </w:rPr>
              <w:t>$0.85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$0.97</w:t>
            </w:r>
          </w:p>
        </w:tc>
        <w:tc>
          <w:tcPr>
            <w:tcW w:type="dxa" w:w="1728"/>
          </w:tcPr>
          <w:p>
            <w:r>
              <w:rPr>
                <w:rFonts w:ascii="Calibri" w:hAnsi="Calibri"/>
                <w:sz w:val="22"/>
              </w:rPr>
              <w:t>$0.94</w:t>
            </w:r>
          </w:p>
        </w:tc>
        <w:tc>
          <w:tcPr>
            <w:tcW w:type="dxa" w:w="1728"/>
          </w:tcPr>
          <w:p>
            <w:r>
              <w:rPr>
                <w:rFonts w:ascii="Calibri" w:hAnsi="Calibri"/>
                <w:sz w:val="22"/>
              </w:rPr>
              <w:t>+3%</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$0.87</w:t>
            </w:r>
          </w:p>
        </w:tc>
        <w:tc>
          <w:tcPr>
            <w:tcW w:type="dxa" w:w="1728"/>
          </w:tcPr>
          <w:p>
            <w:r>
              <w:rPr>
                <w:rFonts w:ascii="Calibri" w:hAnsi="Calibri"/>
                <w:sz w:val="22"/>
              </w:rPr>
              <w:t>$0.80</w:t>
            </w:r>
          </w:p>
        </w:tc>
        <w:tc>
          <w:tcPr>
            <w:tcW w:type="dxa" w:w="1728"/>
          </w:tcPr>
          <w:p>
            <w:r>
              <w:rPr>
                <w:rFonts w:ascii="Calibri" w:hAnsi="Calibri"/>
                <w:sz w:val="22"/>
              </w:rPr>
              <w:t>+9%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TSN has beaten adjusted EPS consensus in each of the last 8 quarters, with beat magnitude narrowing from ~35% in FY2024 to ~3–9% in FY2026 as the Street has revised estimates higher. The shrinking beat size reflects a more informed consensus, not deteriorating execution — the Q3 FY2026 bar of $1.05 is the highest in the trailing 8-quarter window.</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AOI guidance by $100M at the midpoint and Chicken segment guidance by $200M at the midpoint on the Q2 call — the most significant upward revision in recent memory. </w:t>
      </w:r>
      <w:r>
        <w:rPr>
          <w:rFonts w:ascii="Calibri" w:hAnsi="Calibri"/>
          <w:b/>
          <w:color w:val="525866"/>
          <w:sz w:val="22"/>
        </w:rPr>
        <w:t>No post-earnings guidance changes have been filed; tone remains confident and management is explicitly trending toward the upper end of the raised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4,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Company AOI</w:t>
            </w:r>
          </w:p>
        </w:tc>
        <w:tc>
          <w:tcPr>
            <w:tcW w:type="dxa" w:w="1728"/>
          </w:tcPr>
          <w:p>
            <w:r>
              <w:rPr>
                <w:rFonts w:ascii="Calibri" w:hAnsi="Calibri"/>
                <w:sz w:val="22"/>
              </w:rPr>
              <w:t>$2.2B – $2.4B (raised $100M at midpoint vs. prior $2.1B–$2.3B)</w:t>
            </w:r>
          </w:p>
        </w:tc>
        <w:tc>
          <w:tcPr>
            <w:tcW w:type="dxa" w:w="1728"/>
          </w:tcPr>
          <w:p>
            <w:r>
              <w:rPr>
                <w:rFonts w:ascii="Calibri" w:hAnsi="Calibri"/>
                <w:sz w:val="22"/>
              </w:rPr>
              <w:t>—</w:t>
            </w:r>
          </w:p>
        </w:tc>
        <w:tc>
          <w:tcPr>
            <w:tcW w:type="dxa" w:w="1728"/>
          </w:tcPr>
          <w:p>
            <w:r>
              <w:rPr>
                <w:rFonts w:ascii="Calibri" w:hAnsi="Calibri"/>
                <w:sz w:val="22"/>
              </w:rPr>
              <w:t>~$2.3B implied by segment consensus</w:t>
            </w:r>
          </w:p>
        </w:tc>
        <w:tc>
          <w:tcPr>
            <w:tcW w:type="dxa" w:w="1728"/>
          </w:tcPr>
          <w:p>
            <w:r>
              <w:rPr>
                <w:rFonts w:ascii="Calibri" w:hAnsi="Calibri"/>
                <w:sz w:val="22"/>
              </w:rPr>
              <w:t>Management trending toward upper end; no post-earnings change</w:t>
            </w:r>
          </w:p>
        </w:tc>
      </w:tr>
      <w:tr>
        <w:tc>
          <w:tcPr>
            <w:tcW w:type="dxa" w:w="1728"/>
          </w:tcPr>
          <w:p>
            <w:r>
              <w:rPr>
                <w:rFonts w:ascii="Calibri" w:hAnsi="Calibri"/>
                <w:sz w:val="22"/>
              </w:rPr>
              <w:t>Chicken Segment OI</w:t>
            </w:r>
          </w:p>
        </w:tc>
        <w:tc>
          <w:tcPr>
            <w:tcW w:type="dxa" w:w="1728"/>
          </w:tcPr>
          <w:p>
            <w:r>
              <w:rPr>
                <w:rFonts w:ascii="Calibri" w:hAnsi="Calibri"/>
                <w:sz w:val="22"/>
              </w:rPr>
              <w:t>$1.9B – $2.05B (raised $200M at midpoint vs. prior $1.65B–$1.9B)</w:t>
            </w:r>
          </w:p>
        </w:tc>
        <w:tc>
          <w:tcPr>
            <w:tcW w:type="dxa" w:w="1728"/>
          </w:tcPr>
          <w:p>
            <w:r>
              <w:rPr>
                <w:rFonts w:ascii="Calibri" w:hAnsi="Calibri"/>
                <w:sz w:val="22"/>
              </w:rPr>
              <w:t>—</w:t>
            </w:r>
          </w:p>
        </w:tc>
        <w:tc>
          <w:tcPr>
            <w:tcW w:type="dxa" w:w="1728"/>
          </w:tcPr>
          <w:p>
            <w:r>
              <w:rPr>
                <w:rFonts w:ascii="Calibri" w:hAnsi="Calibri"/>
                <w:sz w:val="22"/>
              </w:rPr>
              <w:t>~$1.93B FY consensus</w:t>
            </w:r>
          </w:p>
        </w:tc>
        <w:tc>
          <w:tcPr>
            <w:tcW w:type="dxa" w:w="1728"/>
          </w:tcPr>
          <w:p>
            <w:r>
              <w:rPr>
                <w:rFonts w:ascii="Calibri" w:hAnsi="Calibri"/>
                <w:sz w:val="22"/>
              </w:rPr>
              <w:t>Back half expected “as good as or better than” first half; genetics business structural tailwind</w:t>
            </w:r>
          </w:p>
        </w:tc>
      </w:tr>
      <w:tr>
        <w:tc>
          <w:tcPr>
            <w:tcW w:type="dxa" w:w="1728"/>
          </w:tcPr>
          <w:p>
            <w:r>
              <w:rPr>
                <w:rFonts w:ascii="Calibri" w:hAnsi="Calibri"/>
                <w:sz w:val="22"/>
              </w:rPr>
              <w:t>Beef Segment OI</w:t>
            </w:r>
          </w:p>
        </w:tc>
        <w:tc>
          <w:tcPr>
            <w:tcW w:type="dxa" w:w="1728"/>
          </w:tcPr>
          <w:p>
            <w:r>
              <w:rPr>
                <w:rFonts w:ascii="Calibri" w:hAnsi="Calibri"/>
                <w:sz w:val="22"/>
              </w:rPr>
              <w:t>Loss of $350M – $500M FY; back half losses &lt; front half</w:t>
            </w:r>
          </w:p>
        </w:tc>
        <w:tc>
          <w:tcPr>
            <w:tcW w:type="dxa" w:w="1728"/>
          </w:tcPr>
          <w:p>
            <w:r>
              <w:rPr>
                <w:rFonts w:ascii="Calibri" w:hAnsi="Calibri"/>
                <w:sz w:val="22"/>
              </w:rPr>
              <w:t>—</w:t>
            </w:r>
          </w:p>
        </w:tc>
        <w:tc>
          <w:tcPr>
            <w:tcW w:type="dxa" w:w="1728"/>
          </w:tcPr>
          <w:p>
            <w:r>
              <w:rPr>
                <w:rFonts w:ascii="Calibri" w:hAnsi="Calibri"/>
                <w:sz w:val="22"/>
              </w:rPr>
              <w:t>~-$171M Q3 consensus; ~-$400M FY implied</w:t>
            </w:r>
          </w:p>
        </w:tc>
        <w:tc>
          <w:tcPr>
            <w:tcW w:type="dxa" w:w="1728"/>
          </w:tcPr>
          <w:p>
            <w:r>
              <w:rPr>
                <w:rFonts w:ascii="Calibri" w:hAnsi="Calibri"/>
                <w:sz w:val="22"/>
              </w:rPr>
              <w:t>Q3 first full quarter in reduced footprint (Lexington closed, Amarillo single-shift); sequential improvement expected</w:t>
            </w:r>
          </w:p>
        </w:tc>
      </w:tr>
      <w:tr>
        <w:tc>
          <w:tcPr>
            <w:tcW w:type="dxa" w:w="1728"/>
          </w:tcPr>
          <w:p>
            <w:r>
              <w:rPr>
                <w:rFonts w:ascii="Calibri" w:hAnsi="Calibri"/>
                <w:sz w:val="22"/>
              </w:rPr>
              <w:t>Prepared Foods Segment OI</w:t>
            </w:r>
          </w:p>
        </w:tc>
        <w:tc>
          <w:tcPr>
            <w:tcW w:type="dxa" w:w="1728"/>
          </w:tcPr>
          <w:p>
            <w:r>
              <w:rPr>
                <w:rFonts w:ascii="Calibri" w:hAnsi="Calibri"/>
                <w:sz w:val="22"/>
              </w:rPr>
              <w:t>$1.25B – $1.35B FY (unchanged)</w:t>
            </w:r>
          </w:p>
        </w:tc>
        <w:tc>
          <w:tcPr>
            <w:tcW w:type="dxa" w:w="1728"/>
          </w:tcPr>
          <w:p>
            <w:r>
              <w:rPr>
                <w:rFonts w:ascii="Calibri" w:hAnsi="Calibri"/>
                <w:sz w:val="22"/>
              </w:rPr>
              <w:t>—</w:t>
            </w:r>
          </w:p>
        </w:tc>
        <w:tc>
          <w:tcPr>
            <w:tcW w:type="dxa" w:w="1728"/>
          </w:tcPr>
          <w:p>
            <w:r>
              <w:rPr>
                <w:rFonts w:ascii="Calibri" w:hAnsi="Calibri"/>
                <w:sz w:val="22"/>
              </w:rPr>
              <w:t>~$1.28B FY consensus</w:t>
            </w:r>
          </w:p>
        </w:tc>
        <w:tc>
          <w:tcPr>
            <w:tcW w:type="dxa" w:w="1728"/>
          </w:tcPr>
          <w:p>
            <w:r>
              <w:rPr>
                <w:rFonts w:ascii="Calibri" w:hAnsi="Calibri"/>
                <w:sz w:val="22"/>
              </w:rPr>
              <w:t>Commodity input cost headwind ($150M YTD through Q2); management sees “significant upside” long-term</w:t>
            </w:r>
          </w:p>
        </w:tc>
      </w:tr>
      <w:tr>
        <w:tc>
          <w:tcPr>
            <w:tcW w:type="dxa" w:w="1728"/>
          </w:tcPr>
          <w:p>
            <w:r>
              <w:rPr>
                <w:rFonts w:ascii="Calibri" w:hAnsi="Calibri"/>
                <w:sz w:val="22"/>
              </w:rPr>
              <w:t>Pork Segment OI</w:t>
            </w:r>
          </w:p>
        </w:tc>
        <w:tc>
          <w:tcPr>
            <w:tcW w:type="dxa" w:w="1728"/>
          </w:tcPr>
          <w:p>
            <w:r>
              <w:rPr>
                <w:rFonts w:ascii="Calibri" w:hAnsi="Calibri"/>
                <w:sz w:val="22"/>
              </w:rPr>
              <w:t>$250M – $300M FY (unchanged)</w:t>
            </w:r>
          </w:p>
        </w:tc>
        <w:tc>
          <w:tcPr>
            <w:tcW w:type="dxa" w:w="1728"/>
          </w:tcPr>
          <w:p>
            <w:r>
              <w:rPr>
                <w:rFonts w:ascii="Calibri" w:hAnsi="Calibri"/>
                <w:sz w:val="22"/>
              </w:rPr>
              <w:t>—</w:t>
            </w:r>
          </w:p>
        </w:tc>
        <w:tc>
          <w:tcPr>
            <w:tcW w:type="dxa" w:w="1728"/>
          </w:tcPr>
          <w:p>
            <w:r>
              <w:rPr>
                <w:rFonts w:ascii="Calibri" w:hAnsi="Calibri"/>
                <w:sz w:val="22"/>
              </w:rPr>
              <w:t>~$275M FY consensus</w:t>
            </w:r>
          </w:p>
        </w:tc>
        <w:tc>
          <w:tcPr>
            <w:tcW w:type="dxa" w:w="1728"/>
          </w:tcPr>
          <w:p>
            <w:r>
              <w:rPr>
                <w:rFonts w:ascii="Calibri" w:hAnsi="Calibri"/>
                <w:sz w:val="22"/>
              </w:rPr>
              <w:t>Q2 one-time headwinds (overstaffing, relocation costs, weather) not expected to recur; stable hog supply</w:t>
            </w:r>
          </w:p>
        </w:tc>
      </w:tr>
      <w:tr>
        <w:tc>
          <w:tcPr>
            <w:tcW w:type="dxa" w:w="1728"/>
          </w:tcPr>
          <w:p>
            <w:r>
              <w:rPr>
                <w:rFonts w:ascii="Calibri" w:hAnsi="Calibri"/>
                <w:sz w:val="22"/>
              </w:rPr>
              <w:t>Free Cash Flow</w:t>
            </w:r>
          </w:p>
        </w:tc>
        <w:tc>
          <w:tcPr>
            <w:tcW w:type="dxa" w:w="1728"/>
          </w:tcPr>
          <w:p>
            <w:r>
              <w:rPr>
                <w:rFonts w:ascii="Calibri" w:hAnsi="Calibri"/>
                <w:sz w:val="22"/>
              </w:rPr>
              <w:t>$1.2B – $1.8B FY (raised from prior $1.0B–$1.5B)</w:t>
            </w:r>
          </w:p>
        </w:tc>
        <w:tc>
          <w:tcPr>
            <w:tcW w:type="dxa" w:w="1728"/>
          </w:tcPr>
          <w:p>
            <w:r>
              <w:rPr>
                <w:rFonts w:ascii="Calibri" w:hAnsi="Calibri"/>
                <w:sz w:val="22"/>
              </w:rPr>
              <w:t>—</w:t>
            </w:r>
          </w:p>
        </w:tc>
        <w:tc>
          <w:tcPr>
            <w:tcW w:type="dxa" w:w="1728"/>
          </w:tcPr>
          <w:p>
            <w:r>
              <w:rPr>
                <w:rFonts w:ascii="Calibri" w:hAnsi="Calibri"/>
                <w:sz w:val="22"/>
              </w:rPr>
              <w:t>~$1.5B FY consensus</w:t>
            </w:r>
          </w:p>
        </w:tc>
        <w:tc>
          <w:tcPr>
            <w:tcW w:type="dxa" w:w="1728"/>
          </w:tcPr>
          <w:p>
            <w:r>
              <w:rPr>
                <w:rFonts w:ascii="Calibri" w:hAnsi="Calibri"/>
                <w:sz w:val="22"/>
              </w:rPr>
              <w:t>Raised in line with improved AOI; working capital management a key focus</w:t>
            </w:r>
          </w:p>
        </w:tc>
      </w:tr>
      <w:tr>
        <w:tc>
          <w:tcPr>
            <w:tcW w:type="dxa" w:w="1728"/>
          </w:tcPr>
          <w:p>
            <w:r>
              <w:rPr>
                <w:rFonts w:ascii="Calibri" w:hAnsi="Calibri"/>
                <w:sz w:val="22"/>
              </w:rPr>
              <w:t>Full-Year Revenue</w:t>
            </w:r>
          </w:p>
        </w:tc>
        <w:tc>
          <w:tcPr>
            <w:tcW w:type="dxa" w:w="1728"/>
          </w:tcPr>
          <w:p>
            <w:r>
              <w:rPr>
                <w:rFonts w:ascii="Calibri" w:hAnsi="Calibri"/>
                <w:sz w:val="22"/>
              </w:rPr>
              <w:t>Up 2%–4% YoY (unchanged; 53-week year vs. 52-week prior year)</w:t>
            </w:r>
          </w:p>
        </w:tc>
        <w:tc>
          <w:tcPr>
            <w:tcW w:type="dxa" w:w="1728"/>
          </w:tcPr>
          <w:p>
            <w:r>
              <w:rPr>
                <w:rFonts w:ascii="Calibri" w:hAnsi="Calibri"/>
                <w:sz w:val="22"/>
              </w:rPr>
              <w:t>—</w:t>
            </w:r>
          </w:p>
        </w:tc>
        <w:tc>
          <w:tcPr>
            <w:tcW w:type="dxa" w:w="1728"/>
          </w:tcPr>
          <w:p>
            <w:r>
              <w:rPr>
                <w:rFonts w:ascii="Calibri" w:hAnsi="Calibri"/>
                <w:sz w:val="22"/>
              </w:rPr>
              <w:t>~$56.5B FY consensus</w:t>
            </w:r>
          </w:p>
        </w:tc>
        <w:tc>
          <w:tcPr>
            <w:tcW w:type="dxa" w:w="1728"/>
          </w:tcPr>
          <w:p>
            <w:r>
              <w:rPr>
                <w:rFonts w:ascii="Calibri" w:hAnsi="Calibri"/>
                <w:sz w:val="22"/>
              </w:rPr>
              <w:t>Guidance on 52-week comparable basis; 53rd week adds ~$250M–$300M incremental</w:t>
            </w:r>
          </w:p>
        </w:tc>
      </w:tr>
      <w:tr>
        <w:tc>
          <w:tcPr>
            <w:tcW w:type="dxa" w:w="1728"/>
          </w:tcPr>
          <w:p>
            <w:r>
              <w:rPr>
                <w:rFonts w:ascii="Calibri" w:hAnsi="Calibri"/>
                <w:sz w:val="22"/>
              </w:rPr>
              <w:t>Interest Expense</w:t>
            </w:r>
          </w:p>
        </w:tc>
        <w:tc>
          <w:tcPr>
            <w:tcW w:type="dxa" w:w="1728"/>
          </w:tcPr>
          <w:p>
            <w:r>
              <w:rPr>
                <w:rFonts w:ascii="Calibri" w:hAnsi="Calibri"/>
                <w:sz w:val="22"/>
              </w:rPr>
              <w:t>~$365M FY (lowered $5M from prior guidance)</w:t>
            </w:r>
          </w:p>
        </w:tc>
        <w:tc>
          <w:tcPr>
            <w:tcW w:type="dxa" w:w="1728"/>
          </w:tcPr>
          <w:p>
            <w:r>
              <w:rPr>
                <w:rFonts w:ascii="Calibri" w:hAnsi="Calibri"/>
                <w:sz w:val="22"/>
              </w:rPr>
              <w:t>—</w:t>
            </w:r>
          </w:p>
        </w:tc>
        <w:tc>
          <w:tcPr>
            <w:tcW w:type="dxa" w:w="1728"/>
          </w:tcPr>
          <w:p>
            <w:r>
              <w:rPr>
                <w:rFonts w:ascii="Calibri" w:hAnsi="Calibri"/>
                <w:sz w:val="22"/>
              </w:rPr>
              <w:t>~$365M FY consensus</w:t>
            </w:r>
          </w:p>
        </w:tc>
        <w:tc>
          <w:tcPr>
            <w:tcW w:type="dxa" w:w="1728"/>
          </w:tcPr>
          <w:p>
            <w:r>
              <w:rPr>
                <w:rFonts w:ascii="Calibri" w:hAnsi="Calibri"/>
                <w:sz w:val="22"/>
              </w:rPr>
              <w:t>Reflects continued debt reduction; gross debt down ~$2B over last 6 quarters</w:t>
            </w:r>
          </w:p>
        </w:tc>
      </w:tr>
    </w:tbl>
    <w:p>
      <w:r>
        <w:rPr>
          <w:rFonts w:ascii="Calibri" w:hAnsi="Calibri"/>
          <w:i/>
          <w:color w:val="525866"/>
          <w:sz w:val="22"/>
        </w:rPr>
        <w:t>Source: TSN Q2 FY2026 Earnings Call Transcript (May 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materially higher since the Q2 print — Q3 FY2026 EPS consensus rose from $0.97 (post-Q1 baseline) to $1.05 (current), a +8% revision, tracking the raised guidance. </w:t>
      </w:r>
      <w:r>
        <w:rPr>
          <w:rFonts w:ascii="Calibri" w:hAnsi="Calibri"/>
          <w:b/>
          <w:color w:val="525866"/>
          <w:sz w:val="22"/>
        </w:rPr>
        <w:t>The gap between current consensus and the top of the guidance range suggests the Street is not yet fully pricing in the upper-end scenario management is signaling.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May 9,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Q3 FY2026</w:t>
            </w:r>
          </w:p>
        </w:tc>
        <w:tc>
          <w:tcPr>
            <w:tcW w:type="dxa" w:w="1080"/>
          </w:tcPr>
          <w:p>
            <w:r>
              <w:rPr>
                <w:rFonts w:ascii="Calibri" w:hAnsi="Calibri"/>
                <w:sz w:val="22"/>
              </w:rPr>
              <w:t>$0.97</w:t>
            </w:r>
          </w:p>
        </w:tc>
        <w:tc>
          <w:tcPr>
            <w:tcW w:type="dxa" w:w="1080"/>
          </w:tcPr>
          <w:p>
            <w:r>
              <w:rPr>
                <w:rFonts w:ascii="Calibri" w:hAnsi="Calibri"/>
                <w:sz w:val="22"/>
              </w:rPr>
              <w:t>$1.05</w:t>
            </w:r>
          </w:p>
        </w:tc>
        <w:tc>
          <w:tcPr>
            <w:tcW w:type="dxa" w:w="1080"/>
          </w:tcPr>
          <w:p>
            <w:r>
              <w:rPr>
                <w:rFonts w:ascii="Calibri" w:hAnsi="Calibri"/>
                <w:sz w:val="22"/>
              </w:rPr>
              <w:t>+8.2%</w:t>
            </w:r>
          </w:p>
        </w:tc>
        <w:tc>
          <w:tcPr>
            <w:tcW w:type="dxa" w:w="1080"/>
          </w:tcPr>
          <w:p>
            <w:r>
              <w:rPr>
                <w:rFonts w:ascii="Calibri" w:hAnsi="Calibri"/>
                <w:sz w:val="22"/>
              </w:rPr>
              <w:t>Implied by $2.2B–$2.4B AOI</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(quarterly vs. FY guide)</w:t>
            </w:r>
          </w:p>
        </w:tc>
      </w:tr>
      <w:tr>
        <w:tc>
          <w:tcPr>
            <w:tcW w:type="dxa" w:w="1080"/>
          </w:tcPr>
          <w:p>
            <w:r>
              <w:rPr>
                <w:rFonts w:ascii="Calibri" w:hAnsi="Calibri"/>
                <w:sz w:val="22"/>
              </w:rPr>
              <w:t>Chicken OI — Q3 FY2026</w:t>
            </w:r>
          </w:p>
        </w:tc>
        <w:tc>
          <w:tcPr>
            <w:tcW w:type="dxa" w:w="1080"/>
          </w:tcPr>
          <w:p>
            <w:r>
              <w:rPr>
                <w:rFonts w:ascii="Calibri" w:hAnsi="Calibri"/>
                <w:sz w:val="22"/>
              </w:rPr>
              <w:t>$415M</w:t>
            </w:r>
          </w:p>
        </w:tc>
        <w:tc>
          <w:tcPr>
            <w:tcW w:type="dxa" w:w="1080"/>
          </w:tcPr>
          <w:p>
            <w:r>
              <w:rPr>
                <w:rFonts w:ascii="Calibri" w:hAnsi="Calibri"/>
                <w:sz w:val="22"/>
              </w:rPr>
              <w:t>$469M</w:t>
            </w:r>
          </w:p>
        </w:tc>
        <w:tc>
          <w:tcPr>
            <w:tcW w:type="dxa" w:w="1080"/>
          </w:tcPr>
          <w:p>
            <w:r>
              <w:rPr>
                <w:rFonts w:ascii="Calibri" w:hAnsi="Calibri"/>
                <w:sz w:val="22"/>
              </w:rPr>
              <w:t>+13.0%</w:t>
            </w:r>
          </w:p>
        </w:tc>
        <w:tc>
          <w:tcPr>
            <w:tcW w:type="dxa" w:w="1080"/>
          </w:tcPr>
          <w:p>
            <w:r>
              <w:rPr>
                <w:rFonts w:ascii="Calibri" w:hAnsi="Calibri"/>
                <w:sz w:val="22"/>
              </w:rPr>
              <w:t>$1.9B–$2.05B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Q3 cons. ~$469M; back-half implied run-rate ~$475M–$500M; slight cushion</w:t>
            </w:r>
          </w:p>
        </w:tc>
      </w:tr>
      <w:tr>
        <w:tc>
          <w:tcPr>
            <w:tcW w:type="dxa" w:w="1080"/>
          </w:tcPr>
          <w:p>
            <w:r>
              <w:rPr>
                <w:rFonts w:ascii="Calibri" w:hAnsi="Calibri"/>
                <w:sz w:val="22"/>
              </w:rPr>
              <w:t>Beef OI — Q3 FY2026</w:t>
            </w:r>
          </w:p>
        </w:tc>
        <w:tc>
          <w:tcPr>
            <w:tcW w:type="dxa" w:w="1080"/>
          </w:tcPr>
          <w:p>
            <w:r>
              <w:rPr>
                <w:rFonts w:ascii="Calibri" w:hAnsi="Calibri"/>
                <w:sz w:val="22"/>
              </w:rPr>
              <w:t>-$72M</w:t>
            </w:r>
          </w:p>
        </w:tc>
        <w:tc>
          <w:tcPr>
            <w:tcW w:type="dxa" w:w="1080"/>
          </w:tcPr>
          <w:p>
            <w:r>
              <w:rPr>
                <w:rFonts w:ascii="Calibri" w:hAnsi="Calibri"/>
                <w:sz w:val="22"/>
              </w:rPr>
              <w:t>-$171M</w:t>
            </w:r>
          </w:p>
        </w:tc>
        <w:tc>
          <w:tcPr>
            <w:tcW w:type="dxa" w:w="1080"/>
          </w:tcPr>
          <w:p>
            <w:r>
              <w:rPr>
                <w:rFonts w:ascii="Calibri" w:hAnsi="Calibri"/>
                <w:sz w:val="22"/>
              </w:rPr>
              <w:t>-137% (loss widened in consensus)</w:t>
            </w:r>
          </w:p>
        </w:tc>
        <w:tc>
          <w:tcPr>
            <w:tcW w:type="dxa" w:w="1080"/>
          </w:tcPr>
          <w:p>
            <w:r>
              <w:rPr>
                <w:rFonts w:ascii="Calibri" w:hAnsi="Calibri"/>
                <w:sz w:val="22"/>
              </w:rPr>
              <w:t>Loss $350M–$500M FY; back half &lt; front half</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~-$171M Q3; within guidance range</w:t>
            </w:r>
          </w:p>
        </w:tc>
      </w:tr>
      <w:tr>
        <w:tc>
          <w:tcPr>
            <w:tcW w:type="dxa" w:w="1080"/>
          </w:tcPr>
          <w:p>
            <w:r>
              <w:rPr>
                <w:rFonts w:ascii="Calibri" w:hAnsi="Calibri"/>
                <w:sz w:val="22"/>
              </w:rPr>
              <w:t>Adj. EPS — FY2026</w:t>
            </w:r>
          </w:p>
        </w:tc>
        <w:tc>
          <w:tcPr>
            <w:tcW w:type="dxa" w:w="1080"/>
          </w:tcPr>
          <w:p>
            <w:r>
              <w:rPr>
                <w:rFonts w:ascii="Calibri" w:hAnsi="Calibri"/>
                <w:sz w:val="22"/>
              </w:rPr>
              <w:t>N/A (as-of data not available for FY period)</w:t>
            </w:r>
          </w:p>
        </w:tc>
        <w:tc>
          <w:tcPr>
            <w:tcW w:type="dxa" w:w="1080"/>
          </w:tcPr>
          <w:p>
            <w:r>
              <w:rPr>
                <w:rFonts w:ascii="Calibri" w:hAnsi="Calibri"/>
                <w:sz w:val="22"/>
              </w:rPr>
              <w:t>N/A — not in VA for FY period</w:t>
            </w:r>
          </w:p>
        </w:tc>
        <w:tc>
          <w:tcPr>
            <w:tcW w:type="dxa" w:w="1080"/>
          </w:tcPr>
          <w:p>
            <w:r>
              <w:rPr>
                <w:rFonts w:ascii="Calibri" w:hAnsi="Calibri"/>
                <w:sz w:val="22"/>
              </w:rPr>
              <w:t>N/A</w:t>
            </w:r>
          </w:p>
        </w:tc>
        <w:tc>
          <w:tcPr>
            <w:tcW w:type="dxa" w:w="1080"/>
          </w:tcPr>
          <w:p>
            <w:r>
              <w:rPr>
                <w:rFonts w:ascii="Calibri" w:hAnsi="Calibri"/>
                <w:sz w:val="22"/>
              </w:rPr>
              <w:t>Implied by $2.2B–$2.4B AOI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Chicken OI — FY2026</w:t>
            </w:r>
          </w:p>
        </w:tc>
        <w:tc>
          <w:tcPr>
            <w:tcW w:type="dxa" w:w="1080"/>
          </w:tcPr>
          <w:p>
            <w:r>
              <w:rPr>
                <w:rFonts w:ascii="Calibri" w:hAnsi="Calibri"/>
                <w:sz w:val="22"/>
              </w:rPr>
              <w:t>N/A (as-of data not available for FY period)</w:t>
            </w:r>
          </w:p>
        </w:tc>
        <w:tc>
          <w:tcPr>
            <w:tcW w:type="dxa" w:w="1080"/>
          </w:tcPr>
          <w:p>
            <w:r>
              <w:rPr>
                <w:rFonts w:ascii="Calibri" w:hAnsi="Calibri"/>
                <w:sz w:val="22"/>
              </w:rPr>
              <w:t>~$1.93B (implied by quarterly consensus)</w:t>
            </w:r>
          </w:p>
        </w:tc>
        <w:tc>
          <w:tcPr>
            <w:tcW w:type="dxa" w:w="1080"/>
          </w:tcPr>
          <w:p>
            <w:r>
              <w:rPr>
                <w:rFonts w:ascii="Calibri" w:hAnsi="Calibri"/>
                <w:sz w:val="22"/>
              </w:rPr>
              <w:t>N/A</w:t>
            </w:r>
          </w:p>
        </w:tc>
        <w:tc>
          <w:tcPr>
            <w:tcW w:type="dxa" w:w="1080"/>
          </w:tcPr>
          <w:p>
            <w:r>
              <w:rPr>
                <w:rFonts w:ascii="Calibri" w:hAnsi="Calibri"/>
                <w:sz w:val="22"/>
              </w:rPr>
              <w:t>$1.9B–$2.05B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low end of guidance range; upside if back half tracks Q1/Q2 run-rate</w:t>
            </w:r>
          </w:p>
        </w:tc>
      </w:tr>
    </w:tbl>
    <w:p>
      <w:r>
        <w:rPr>
          <w:rFonts w:ascii="Calibri" w:hAnsi="Calibri"/>
          <w:color w:val="525866"/>
          <w:sz w:val="22"/>
        </w:rPr>
        <w:t>Estimates have moved constructively higher since the Q2 print, with Chicken OI consensus up +13% and Adj. EPS up +8% for Q3 FY2026 — both tracking the raised guidance. The Beef OI consensus widened post-print as the Street absorbed the full-year loss guidance, but the Q3 implied figure of -$171M is consistent with management's "back half better than front half" commentary (front half Beef OI: -$319M Q1 + -$240M Q2 = -$559M). Chicken consensus sitting at the low end of the FY guidance range is the key asymmetry — if the genetics business and operational execution continue at the Q1/Q2 pace, there is meaningful upside to the current $469M Q3 estimate.</w:t>
      </w:r>
    </w:p>
    <w:p>
      <w:r>
        <w:rPr>
          <w:rFonts w:ascii="Calibri" w:hAnsi="Calibri"/>
          <w:i/>
          <w:color w:val="525866"/>
          <w:sz w:val="22"/>
        </w:rPr>
        <w:t>Source: Visible Alpha consensus and actuals data. Post-Q2 baseline as of May 9, 2026 (5 trading days after May 4,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TSN has significantly underperformed since Q2 earnings — down ~16% vs. XLP roughly flat and SPY +4% — driven by a combination of governance concerns (COO departure, John Tyson's $40M bonus package), commodity chicken market softness flagged by peers, and broader sector rotation. </w:t>
      </w:r>
      <w:r>
        <w:rPr>
          <w:rFonts w:ascii="Calibri" w:hAnsi="Calibri"/>
          <w:b/>
          <w:color w:val="525866"/>
          <w:sz w:val="22"/>
        </w:rPr>
        <w:t>The de-rating appears sentiment-driven rather than fundamentals-driven, given the raised guidance and consistent beat history.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TSN vs. XLP (Consumer Staples ETF) vs. S&amp;P 500 (SPY) — Indexed to 100 at Q2 FY2026 Earnings Date (May 4, 2026). Source: Yahoo Finance / Stock Price Data.</w:t>
      </w:r>
    </w:p>
    <w:p>
      <w:pPr>
        <w:pStyle w:val="ListBullet"/>
        <w:ind w:left="360" w:hanging="360"/>
      </w:pPr>
      <w:r>
        <w:rPr>
          <w:rFonts w:ascii="Calibri" w:hAnsi="Calibri"/>
          <w:b/>
          <w:color w:val="525866"/>
          <w:sz w:val="22"/>
        </w:rPr>
        <w:t xml:space="preserve">TSN performance since May 4, 2026 earnings: </w:t>
      </w:r>
      <w:r>
        <w:rPr>
          <w:rFonts w:ascii="Calibri" w:hAnsi="Calibri"/>
          <w:color w:val="525866"/>
          <w:sz w:val="22"/>
        </w:rPr>
        <w:t>~-16% (from $68.75 to ~$57.96 as of Aug 3, 2026)</w:t>
      </w:r>
    </w:p>
    <w:p>
      <w:pPr>
        <w:pStyle w:val="ListBullet"/>
        <w:ind w:left="360" w:hanging="360"/>
      </w:pPr>
      <w:r>
        <w:rPr>
          <w:rFonts w:ascii="Calibri" w:hAnsi="Calibri"/>
          <w:b/>
          <w:color w:val="525866"/>
          <w:sz w:val="22"/>
        </w:rPr>
        <w:t xml:space="preserve">XLP (Consumer Staples ETF) performance: </w:t>
      </w:r>
      <w:r>
        <w:rPr>
          <w:rFonts w:ascii="Calibri" w:hAnsi="Calibri"/>
          <w:color w:val="525866"/>
          <w:sz w:val="22"/>
        </w:rPr>
        <w:t>~+1.8% over the same period — TSN underperformed the sector by ~18 percentage points</w:t>
      </w:r>
    </w:p>
    <w:p>
      <w:pPr>
        <w:pStyle w:val="ListBullet"/>
        <w:ind w:left="360" w:hanging="360"/>
      </w:pPr>
      <w:r>
        <w:rPr>
          <w:rFonts w:ascii="Calibri" w:hAnsi="Calibri"/>
          <w:b/>
          <w:color w:val="525866"/>
          <w:sz w:val="22"/>
        </w:rPr>
        <w:t xml:space="preserve">S&amp;P 500 (SPY) performance: </w:t>
      </w:r>
      <w:r>
        <w:rPr>
          <w:rFonts w:ascii="Calibri" w:hAnsi="Calibri"/>
          <w:color w:val="525866"/>
          <w:sz w:val="22"/>
        </w:rPr>
        <w:t>~+4.0% over the same period — TSN underperformed the broad market by ~20 percentage points</w:t>
      </w:r>
    </w:p>
    <w:p>
      <w:pPr>
        <w:pStyle w:val="ListBullet"/>
        <w:ind w:left="360" w:hanging="360"/>
      </w:pPr>
      <w:r>
        <w:rPr>
          <w:rFonts w:ascii="Calibri" w:hAnsi="Calibri"/>
          <w:b/>
          <w:color w:val="525866"/>
          <w:sz w:val="22"/>
        </w:rPr>
        <w:t xml:space="preserve">Key events marked: </w:t>
      </w:r>
      <w:r>
        <w:rPr>
          <w:rFonts w:ascii="Calibri" w:hAnsi="Calibri"/>
          <w:color w:val="525866"/>
          <w:sz w:val="22"/>
        </w:rPr>
        <w:t>COO transition (Wes Morris replacing Devin Cole, June 15, 2026) and John Tyson $40M bonus 8-K (June 18, 2026) coincided with accelerated underperformance</w:t>
      </w:r>
    </w:p>
    <w:p>
      <w:pPr>
        <w:pStyle w:val="ListBullet"/>
        <w:ind w:left="360" w:hanging="360"/>
      </w:pPr>
      <w:r>
        <w:rPr>
          <w:rFonts w:ascii="Calibri" w:hAnsi="Calibri"/>
          <w:b/>
          <w:color w:val="525866"/>
          <w:sz w:val="22"/>
        </w:rPr>
        <w:t xml:space="preserve">Valuation context: </w:t>
      </w:r>
      <w:r>
        <w:rPr>
          <w:rFonts w:ascii="Calibri" w:hAnsi="Calibri"/>
          <w:color w:val="525866"/>
          <w:sz w:val="22"/>
        </w:rPr>
        <w:t>TSN now trades at a forward P/E in the low-to-mid teens — below its historical mid-cycle range of high-teens to low-twenties — suggesting the market is pricing in continued Beef headwinds and/or Chicken margin mean-reversion, despite management's raised guidance</w:t>
      </w:r>
    </w:p>
    <w:p>
      <w:r>
        <w:rPr>
          <w:rFonts w:ascii="Calibri" w:hAnsi="Calibri"/>
          <w:i/>
          <w:color w:val="525866"/>
          <w:sz w:val="22"/>
        </w:rPr>
        <w:t>Source: Yahoo Finance stock price data.</w:t>
      </w:r>
    </w:p>
    <w:p>
      <w:r>
        <w:br w:type="page"/>
      </w:r>
    </w:p>
    <w:p>
      <w:pPr>
        <w:pStyle w:val="Heading2"/>
      </w:pPr>
      <w:r>
        <w:rPr>
          <w:rFonts w:ascii="Calibri" w:hAnsi="Calibri"/>
          <w:b/>
          <w:color w:val="3B4259"/>
          <w:sz w:val="28"/>
        </w:rPr>
        <w:t>6. Peer Commentaries — Read-Through for TSN Q3 FY2026</w:t>
      </w:r>
    </w:p>
    <w:p>
      <w:r>
        <w:rPr>
          <w:rFonts w:ascii="Calibri" w:hAnsi="Calibri"/>
          <w:b/>
          <w:color w:val="525866"/>
          <w:sz w:val="22"/>
        </w:rPr>
        <w:t xml:space="preserve">Key Takeaway: </w:t>
      </w:r>
      <w:r>
        <w:rPr>
          <w:rFonts w:ascii="Calibri" w:hAnsi="Calibri"/>
          <w:color w:val="525866"/>
          <w:sz w:val="22"/>
        </w:rPr>
        <w:t>Peer commentary since TSN's last earnings (May 4, 2026) is a mixed read-through — Pilgrim's Pride (PPC, reported July 30) is the most direct and most concerning signal, flagging a 27% drop in jumbo cutout values and 4.5% supply growth in Q2 that pressured commodity chicken margins; Hormel (HRL) and Conagra (CAG) confirm resilient protein demand and foodservice strength; General Mills (GIS) and Campbell's (CPB) highlight a value-conscious consumer that is trading into affordable proteins, which is a net positive for TSN's branded chicken and prepared foods.</w:t>
      </w:r>
    </w:p>
    <w:p>
      <w:r>
        <w:rPr>
          <w:rFonts w:ascii="Calibri" w:hAnsi="Calibri"/>
          <w:i/>
          <w:color w:val="525866"/>
          <w:sz w:val="22"/>
        </w:rPr>
        <w:t>Note: Only peer commentary from the current reporting period (i.e., commentary about TSN's Q3 FY2026 quarter, or post-TSN-Q2-earnings commentary about the current operating environment) is included below. Prior-quarter results commentary from peers is excluded.</w:t>
      </w:r>
    </w:p>
    <w:p>
      <w:pPr>
        <w:pStyle w:val="Heading3"/>
      </w:pPr>
      <w:r>
        <w:rPr>
          <w:rFonts w:ascii="Calibri" w:hAnsi="Calibri"/>
          <w:b/>
          <w:color w:val="3B4259"/>
          <w:sz w:val="24"/>
        </w:rPr>
        <w:t>Pilgrim’s Pride (PPC) — Q2 2026 Earnings Call (July 30, 2026) — MOST DIRECT READ-THROUGH</w:t>
      </w:r>
    </w:p>
    <w:p>
      <w:r>
        <w:rPr>
          <w:rFonts w:ascii="Calibri" w:hAnsi="Calibri"/>
          <w:b/>
          <w:color w:val="525866"/>
          <w:sz w:val="22"/>
        </w:rPr>
        <w:t xml:space="preserve">Relevance: </w:t>
      </w:r>
      <w:r>
        <w:rPr>
          <w:rFonts w:ascii="Calibri" w:hAnsi="Calibri"/>
          <w:color w:val="525866"/>
          <w:sz w:val="22"/>
        </w:rPr>
        <w:t>PPC is TSN's closest direct peer in chicken processing. PPC's Q2 2026 (calendar Q2, April–June 2026) covers the same calendar period as TSN's Q3 FY2026 (fiscal quarter ending June 27, 2026). This is the highest-relevance read-through for TSN's upcoming print.</w:t>
      </w:r>
    </w:p>
    <w:p>
      <w:pPr>
        <w:pStyle w:val="ListBullet"/>
        <w:ind w:left="360" w:hanging="360"/>
      </w:pPr>
      <w:r>
        <w:rPr>
          <w:rFonts w:ascii="Calibri" w:hAnsi="Calibri"/>
          <w:b/>
          <w:color w:val="525866"/>
          <w:sz w:val="22"/>
        </w:rPr>
        <w:t xml:space="preserve">Commodity chicken market softness — NEGATIVE read-through: </w:t>
      </w:r>
      <w:r>
        <w:rPr>
          <w:rFonts w:ascii="Calibri" w:hAnsi="Calibri"/>
          <w:color w:val="525866"/>
          <w:sz w:val="22"/>
        </w:rPr>
        <w:t>PPC reported a 27% year-over-year decrease in jumbo cutout values in Q2 2026, with U.S. margins declining year-over-year as a result. USDA reported ready-to-cook production increased 4.5% over the same period last year, driven by higher headcounts and better livability — supply growth outpaced demand, creating counter-seasonal pressure on commodity chicken prices. This is a direct headwind for TSN's commodity chicken exposure in Q3 FY2026.</w:t>
      </w:r>
    </w:p>
    <w:p>
      <w:pPr>
        <w:pStyle w:val="ListBullet"/>
        <w:ind w:left="360" w:hanging="360"/>
      </w:pPr>
      <w:r>
        <w:rPr>
          <w:rFonts w:ascii="Calibri" w:hAnsi="Calibri"/>
          <w:b/>
          <w:color w:val="525866"/>
          <w:sz w:val="22"/>
        </w:rPr>
        <w:t xml:space="preserve">Supply outlook moderating in H2 — MIXED read-through: </w:t>
      </w:r>
      <w:r>
        <w:rPr>
          <w:rFonts w:ascii="Calibri" w:hAnsi="Calibri"/>
          <w:color w:val="525866"/>
          <w:sz w:val="22"/>
        </w:rPr>
        <w:t>PPC noted the USDA anticipates chicken production growth to slow to ~2.5% in H2 2026 (vs. 4.5% in Q2), which is more in line with strong demand. Warm weather in July/August typically impacts bird growth, and the increased livability seen in Q2 is not expected to repeat in Q3. This suggests the commodity pressure may be more Q2-concentrated, which is a modest positive for TSN's Q3 outlook.</w:t>
      </w:r>
    </w:p>
    <w:p>
      <w:pPr>
        <w:pStyle w:val="ListBullet"/>
        <w:ind w:left="360" w:hanging="360"/>
      </w:pPr>
      <w:r>
        <w:rPr>
          <w:rFonts w:ascii="Calibri" w:hAnsi="Calibri"/>
          <w:b/>
          <w:color w:val="525866"/>
          <w:sz w:val="22"/>
        </w:rPr>
        <w:t xml:space="preserve">Chicken demand remains structurally strong — POSITIVE read-through: </w:t>
      </w:r>
      <w:r>
        <w:rPr>
          <w:rFonts w:ascii="Calibri" w:hAnsi="Calibri"/>
          <w:color w:val="525866"/>
          <w:sz w:val="22"/>
        </w:rPr>
        <w:t>PPC confirmed chicken demand remained firm across all regions, leading growth in meat protein consumption. Retail fresh chicken delivered the highest dollar sales growth among all proteins. Foodservice chicken volumes increased 3.4% despite mixed traffic trends, with QSR chicken volume up 4.1% and non-commercial channels up 5.9%. This supports TSN's branded chicken volume growth narrative.</w:t>
      </w:r>
    </w:p>
    <w:p>
      <w:pPr>
        <w:pStyle w:val="ListBullet"/>
        <w:ind w:left="360" w:hanging="360"/>
      </w:pPr>
      <w:r>
        <w:rPr>
          <w:rFonts w:ascii="Calibri" w:hAnsi="Calibri"/>
          <w:b/>
          <w:color w:val="525866"/>
          <w:sz w:val="22"/>
        </w:rPr>
        <w:t xml:space="preserve">Prepared/value-added chicken outperforming — POSITIVE read-through: </w:t>
      </w:r>
      <w:r>
        <w:rPr>
          <w:rFonts w:ascii="Calibri" w:hAnsi="Calibri"/>
          <w:color w:val="525866"/>
          <w:sz w:val="22"/>
        </w:rPr>
        <w:t>PPC's prepared chicken volumes grew nearly 14% year-over-year, with Just Bare retail sales up 30%+ (6x the category average). This validates TSN's strategy of growing branded value-added chicken at 3x the rate of overall chicken volume growth. The premium/branded segment is clearly outperforming commodity.</w:t>
      </w:r>
    </w:p>
    <w:p>
      <w:pPr>
        <w:pStyle w:val="ListBullet"/>
        <w:ind w:left="360" w:hanging="360"/>
      </w:pPr>
      <w:r>
        <w:rPr>
          <w:rFonts w:ascii="Calibri" w:hAnsi="Calibri"/>
          <w:b/>
          <w:color w:val="525866"/>
          <w:sz w:val="22"/>
        </w:rPr>
        <w:t xml:space="preserve">Beef and pork supply context — NEUTRAL read-through: </w:t>
      </w:r>
      <w:r>
        <w:rPr>
          <w:rFonts w:ascii="Calibri" w:hAnsi="Calibri"/>
          <w:color w:val="525866"/>
          <w:sz w:val="22"/>
        </w:rPr>
        <w:t>USDA expected limited growth in pork and a minor increase in beef availability, with higher imports partially offsetting domestic production headwinds. This is consistent with TSN's own commentary on tight cattle supply persisting through 2026–2027.</w:t>
      </w:r>
    </w:p>
    <w:p>
      <w:pPr>
        <w:pStyle w:val="ListBullet"/>
        <w:ind w:left="360" w:hanging="360"/>
      </w:pPr>
      <w:r>
        <w:rPr>
          <w:rFonts w:ascii="Calibri" w:hAnsi="Calibri"/>
          <w:b/>
          <w:color w:val="525866"/>
          <w:sz w:val="22"/>
        </w:rPr>
        <w:t xml:space="preserve">Boneless breast pricing — WATCH ITEM: </w:t>
      </w:r>
      <w:r>
        <w:rPr>
          <w:rFonts w:ascii="Calibri" w:hAnsi="Calibri"/>
          <w:color w:val="525866"/>
          <w:sz w:val="22"/>
        </w:rPr>
        <w:t>PPC flagged significant promotional activity on boneless breasts in retail heading into Q3, with price decreases expected to drive stronger demand. This could pressure TSN's Chicken segment pricing in Q3 FY2026, though it may also drive volume.</w:t>
      </w:r>
    </w:p>
    <w:p>
      <w:pPr>
        <w:pStyle w:val="Heading3"/>
      </w:pPr>
      <w:r>
        <w:rPr>
          <w:rFonts w:ascii="Calibri" w:hAnsi="Calibri"/>
          <w:b/>
          <w:color w:val="3B4259"/>
          <w:sz w:val="24"/>
        </w:rPr>
        <w:t>Hormel Foods (HRL) — Q2 FY2026 Earnings Call (May 28, 2026)</w:t>
      </w:r>
    </w:p>
    <w:p>
      <w:r>
        <w:rPr>
          <w:rFonts w:ascii="Calibri" w:hAnsi="Calibri"/>
          <w:b/>
          <w:color w:val="525866"/>
          <w:sz w:val="22"/>
        </w:rPr>
        <w:t xml:space="preserve">Relevance: </w:t>
      </w:r>
      <w:r>
        <w:rPr>
          <w:rFonts w:ascii="Calibri" w:hAnsi="Calibri"/>
          <w:color w:val="525866"/>
          <w:sz w:val="22"/>
        </w:rPr>
        <w:t>HRL's fiscal Q2 2026 (February–April 2026) partially overlaps with TSN's Q3 FY2026 (April–June 2026). HRL's forward-looking commentary about Q3 and H2 2026 is the most relevant read-through for TSN's current quarter.</w:t>
      </w:r>
    </w:p>
    <w:p>
      <w:pPr>
        <w:pStyle w:val="ListBullet"/>
        <w:ind w:left="360" w:hanging="360"/>
      </w:pPr>
      <w:r>
        <w:rPr>
          <w:rFonts w:ascii="Calibri" w:hAnsi="Calibri"/>
          <w:b/>
          <w:color w:val="525866"/>
          <w:sz w:val="22"/>
        </w:rPr>
        <w:t xml:space="preserve">Protein demand resilient despite consumer pressure — POSITIVE read-through: </w:t>
      </w:r>
      <w:r>
        <w:rPr>
          <w:rFonts w:ascii="Calibri" w:hAnsi="Calibri"/>
          <w:color w:val="525866"/>
          <w:sz w:val="22"/>
        </w:rPr>
        <w:t>HRL confirmed its protein-centric portfolio is performing well, with food remaining resilient despite consumers being "under pressure and sentiment is low." Consumers and operators are prioritizing "convenient kitchen shortcuts, substantial snacking solutions or affordable protein options" — a direct tailwind for TSN's Chicken and Prepared Foods segments.</w:t>
      </w:r>
    </w:p>
    <w:p>
      <w:pPr>
        <w:pStyle w:val="ListBullet"/>
        <w:ind w:left="360" w:hanging="360"/>
      </w:pPr>
      <w:r>
        <w:rPr>
          <w:rFonts w:ascii="Calibri" w:hAnsi="Calibri"/>
          <w:b/>
          <w:color w:val="525866"/>
          <w:sz w:val="22"/>
        </w:rPr>
        <w:t xml:space="preserve">Foodservice traffic challenged but protein volumes growing — MIXED read-through: </w:t>
      </w:r>
      <w:r>
        <w:rPr>
          <w:rFonts w:ascii="Calibri" w:hAnsi="Calibri"/>
          <w:color w:val="525866"/>
          <w:sz w:val="22"/>
        </w:rPr>
        <w:t>HRL's Foodservice segment delivered 11th consecutive quarter of organic net sales growth (+7%), but noted "traffic remains challenged in many parts of the away-from-home channels." Operators are using chicken as a value-oriented promotional tool to drive traffic — positive for TSN's foodservice chicken volumes but implies pricing pressure.</w:t>
      </w:r>
    </w:p>
    <w:p>
      <w:pPr>
        <w:pStyle w:val="ListBullet"/>
        <w:ind w:left="360" w:hanging="360"/>
      </w:pPr>
      <w:r>
        <w:rPr>
          <w:rFonts w:ascii="Calibri" w:hAnsi="Calibri"/>
          <w:b/>
          <w:color w:val="525866"/>
          <w:sz w:val="22"/>
        </w:rPr>
        <w:t xml:space="preserve">Pork and beef commodity costs elevated — NEGATIVE read-through: </w:t>
      </w:r>
      <w:r>
        <w:rPr>
          <w:rFonts w:ascii="Calibri" w:hAnsi="Calibri"/>
          <w:color w:val="525866"/>
          <w:sz w:val="22"/>
        </w:rPr>
        <w:t>HRL noted "pork and beef remained elevated relative to historical levels" and is closely monitoring pork belly markets, which are currently lower but with a wide range of outcomes for H2. HRL's guide assumes pork bellies will be "closer to last year" in H2 — this is a headwind for TSN's Prepared Foods segment, which saw $150M in commodity cost increases YTD through Q2 FY2026.</w:t>
      </w:r>
    </w:p>
    <w:p>
      <w:pPr>
        <w:pStyle w:val="ListBullet"/>
        <w:ind w:left="360" w:hanging="360"/>
      </w:pPr>
      <w:r>
        <w:rPr>
          <w:rFonts w:ascii="Calibri" w:hAnsi="Calibri"/>
          <w:b/>
          <w:color w:val="525866"/>
          <w:sz w:val="22"/>
        </w:rPr>
        <w:t xml:space="preserve">Q3 cost pressures flagged — NEGATIVE read-through: </w:t>
      </w:r>
      <w:r>
        <w:rPr>
          <w:rFonts w:ascii="Calibri" w:hAnsi="Calibri"/>
          <w:color w:val="525866"/>
          <w:sz w:val="22"/>
        </w:rPr>
        <w:t>HRL explicitly guided Q3 adjusted earnings to be "more in line with the prior year" (i.e., flat YoY), citing a full quarter of higher fuel expenses, commodity market assessments running above plan, and inventory rebalancing actions. Higher logistics costs and fuel are a sector-wide headwind that will also affect TSN in Q3 FY2026.</w:t>
      </w:r>
    </w:p>
    <w:p>
      <w:pPr>
        <w:pStyle w:val="ListBullet"/>
        <w:ind w:left="360" w:hanging="360"/>
      </w:pPr>
      <w:r>
        <w:rPr>
          <w:rFonts w:ascii="Calibri" w:hAnsi="Calibri"/>
          <w:b/>
          <w:color w:val="525866"/>
          <w:sz w:val="22"/>
        </w:rPr>
        <w:t xml:space="preserve">Value-added poultry outperforming — POSITIVE read-through: </w:t>
      </w:r>
      <w:r>
        <w:rPr>
          <w:rFonts w:ascii="Calibri" w:hAnsi="Calibri"/>
          <w:color w:val="525866"/>
          <w:sz w:val="22"/>
        </w:rPr>
        <w:t>Jennie-O ground turkey delivered double-digit dollar sales and share growth; Applegate frozen breaded chicken and chicken breakfast sausage showed strong momentum. This validates TSN's branded value-added chicken strategy and suggests the premium/branded poultry segment is taking share from commodity.</w:t>
      </w:r>
    </w:p>
    <w:p>
      <w:pPr>
        <w:pStyle w:val="Heading3"/>
      </w:pPr>
      <w:r>
        <w:rPr>
          <w:rFonts w:ascii="Calibri" w:hAnsi="Calibri"/>
          <w:b/>
          <w:color w:val="3B4259"/>
          <w:sz w:val="24"/>
        </w:rPr>
        <w:t>Conagra Brands (CAG) — Q4 FY2026 Earnings Call (July 15, 2026)</w:t>
      </w:r>
    </w:p>
    <w:p>
      <w:r>
        <w:rPr>
          <w:rFonts w:ascii="Calibri" w:hAnsi="Calibri"/>
          <w:b/>
          <w:color w:val="525866"/>
          <w:sz w:val="22"/>
        </w:rPr>
        <w:t xml:space="preserve">Relevance: </w:t>
      </w:r>
      <w:r>
        <w:rPr>
          <w:rFonts w:ascii="Calibri" w:hAnsi="Calibri"/>
          <w:color w:val="525866"/>
          <w:sz w:val="22"/>
        </w:rPr>
        <w:t>CAG's fiscal Q4 2026 (March–May 2026) partially overlaps with TSN's Q3 FY2026. CAG's forward-looking commentary about its fiscal Q1 FY2027 (June–August 2026) is directly relevant to TSN's current quarter operating environment.</w:t>
      </w:r>
    </w:p>
    <w:p>
      <w:pPr>
        <w:pStyle w:val="ListBullet"/>
        <w:ind w:left="360" w:hanging="360"/>
      </w:pPr>
      <w:r>
        <w:rPr>
          <w:rFonts w:ascii="Calibri" w:hAnsi="Calibri"/>
          <w:b/>
          <w:color w:val="525866"/>
          <w:sz w:val="22"/>
        </w:rPr>
        <w:t xml:space="preserve">Consumer is value-conscious but protein demand holds — POSITIVE read-through: </w:t>
      </w:r>
      <w:r>
        <w:rPr>
          <w:rFonts w:ascii="Calibri" w:hAnsi="Calibri"/>
          <w:color w:val="525866"/>
          <w:sz w:val="22"/>
        </w:rPr>
        <w:t>CAG noted "the consumer is being very value conscious" but highlighted its protein portfolio (meat snacks, permissible snacking) as a growth driver. Consumers are seeking "affordable protein options" — consistent with TSN's observation that animal protein is "top of mind for consumers."</w:t>
      </w:r>
    </w:p>
    <w:p>
      <w:pPr>
        <w:pStyle w:val="ListBullet"/>
        <w:ind w:left="360" w:hanging="360"/>
      </w:pPr>
      <w:r>
        <w:rPr>
          <w:rFonts w:ascii="Calibri" w:hAnsi="Calibri"/>
          <w:b/>
          <w:color w:val="525866"/>
          <w:sz w:val="22"/>
        </w:rPr>
        <w:t xml:space="preserve">Frozen volumes under pressure — NEGATIVE read-through for Prepared Foods: </w:t>
      </w:r>
      <w:r>
        <w:rPr>
          <w:rFonts w:ascii="Calibri" w:hAnsi="Calibri"/>
          <w:color w:val="525866"/>
          <w:sz w:val="22"/>
        </w:rPr>
        <w:t>CAG guided volumes down mid-single digits for the year, "really weighted towards frozen." This is a headwind read-through for TSN's Prepared Foods frozen segment, though TSN has been gaining share even as the category declines.</w:t>
      </w:r>
    </w:p>
    <w:p>
      <w:pPr>
        <w:pStyle w:val="ListBullet"/>
        <w:ind w:left="360" w:hanging="360"/>
      </w:pPr>
      <w:r>
        <w:rPr>
          <w:rFonts w:ascii="Calibri" w:hAnsi="Calibri"/>
          <w:b/>
          <w:color w:val="525866"/>
          <w:sz w:val="22"/>
        </w:rPr>
        <w:t xml:space="preserve">Inflation persistent in FY2027 — NEGATIVE read-through: </w:t>
      </w:r>
      <w:r>
        <w:rPr>
          <w:rFonts w:ascii="Calibri" w:hAnsi="Calibri"/>
          <w:color w:val="525866"/>
          <w:sz w:val="22"/>
        </w:rPr>
        <w:t>CAG flagged "inflation of 5 to 6%" for FY2027 against productivity above 4%, meaning inflation exceeds productivity — a "pressure point." This is a forward-looking headwind for TSN's input cost structure heading into FY2027, particularly for Prepared Foods commodity inputs.</w:t>
      </w:r>
    </w:p>
    <w:p>
      <w:pPr>
        <w:pStyle w:val="ListBullet"/>
        <w:ind w:left="360" w:hanging="360"/>
      </w:pPr>
      <w:r>
        <w:rPr>
          <w:rFonts w:ascii="Calibri" w:hAnsi="Calibri"/>
          <w:b/>
          <w:color w:val="525866"/>
          <w:sz w:val="22"/>
        </w:rPr>
        <w:t xml:space="preserve">Pricing actions mid-Q2 — NEUTRAL read-through: </w:t>
      </w:r>
      <w:r>
        <w:rPr>
          <w:rFonts w:ascii="Calibri" w:hAnsi="Calibri"/>
          <w:color w:val="525866"/>
          <w:sz w:val="22"/>
        </w:rPr>
        <w:t>CAG is implementing pricing actions mid-Q2 (of its fiscal year), with only a half-year impact in the current year. This suggests the broader packaged food sector is still in a pricing-action cycle, which could support TSN's ability to take selective price increases in Prepared Foods.</w:t>
      </w:r>
    </w:p>
    <w:p>
      <w:pPr>
        <w:pStyle w:val="ListBullet"/>
        <w:ind w:left="360" w:hanging="360"/>
      </w:pPr>
      <w:r>
        <w:rPr>
          <w:rFonts w:ascii="Calibri" w:hAnsi="Calibri"/>
          <w:b/>
          <w:color w:val="525866"/>
          <w:sz w:val="22"/>
        </w:rPr>
        <w:t xml:space="preserve">Portfolio reshape as a strategy — NEUTRAL read-through: </w:t>
      </w:r>
      <w:r>
        <w:rPr>
          <w:rFonts w:ascii="Calibri" w:hAnsi="Calibri"/>
          <w:color w:val="525866"/>
          <w:sz w:val="22"/>
        </w:rPr>
        <w:t>CAG is pursuing portfolio simplification and SKU rationalization as a "meaningful part of strategy." TSN has similarly been rationalizing its Beef footprint and focusing on higher-value Chicken and Prepared Foods — this validates the strategic direction.</w:t>
      </w:r>
    </w:p>
    <w:p>
      <w:pPr>
        <w:pStyle w:val="Heading3"/>
      </w:pPr>
      <w:r>
        <w:rPr>
          <w:rFonts w:ascii="Calibri" w:hAnsi="Calibri"/>
          <w:b/>
          <w:color w:val="3B4259"/>
          <w:sz w:val="24"/>
        </w:rPr>
        <w:t>General Mills (GIS) — Q4 FY2026 Earnings Call (July 1, 2026)</w:t>
      </w:r>
    </w:p>
    <w:p>
      <w:r>
        <w:rPr>
          <w:rFonts w:ascii="Calibri" w:hAnsi="Calibri"/>
          <w:b/>
          <w:color w:val="525866"/>
          <w:sz w:val="22"/>
        </w:rPr>
        <w:t xml:space="preserve">Relevance: </w:t>
      </w:r>
      <w:r>
        <w:rPr>
          <w:rFonts w:ascii="Calibri" w:hAnsi="Calibri"/>
          <w:color w:val="525866"/>
          <w:sz w:val="22"/>
        </w:rPr>
        <w:t>GIS's fiscal Q4 2026 (March–May 2026) partially overlaps with TSN's Q3 FY2026. GIS's FY2027 outlook commentary (June 2026 onward) is directly relevant to TSN's current quarter environment.</w:t>
      </w:r>
    </w:p>
    <w:p>
      <w:pPr>
        <w:pStyle w:val="ListBullet"/>
        <w:ind w:left="360" w:hanging="360"/>
      </w:pPr>
      <w:r>
        <w:rPr>
          <w:rFonts w:ascii="Calibri" w:hAnsi="Calibri"/>
          <w:b/>
          <w:color w:val="525866"/>
          <w:sz w:val="22"/>
        </w:rPr>
        <w:t xml:space="preserve">Protein is the consumer mega-trend — POSITIVE read-through: </w:t>
      </w:r>
      <w:r>
        <w:rPr>
          <w:rFonts w:ascii="Calibri" w:hAnsi="Calibri"/>
          <w:color w:val="525866"/>
          <w:sz w:val="22"/>
        </w:rPr>
        <w:t>GIS management stated "it's really all about protein" as the key driver of consumer health focus, citing functional nutrition as the unlock for growth even in a challenging consumer environment. This is a structural tailwind for TSN's entire protein portfolio.</w:t>
      </w:r>
    </w:p>
    <w:p>
      <w:pPr>
        <w:pStyle w:val="ListBullet"/>
        <w:ind w:left="360" w:hanging="360"/>
      </w:pPr>
      <w:r>
        <w:rPr>
          <w:rFonts w:ascii="Calibri" w:hAnsi="Calibri"/>
          <w:b/>
          <w:color w:val="525866"/>
          <w:sz w:val="22"/>
        </w:rPr>
        <w:t xml:space="preserve">Consumer will remain pressured in FY2027 — NEGATIVE read-through: </w:t>
      </w:r>
      <w:r>
        <w:rPr>
          <w:rFonts w:ascii="Calibri" w:hAnsi="Calibri"/>
          <w:color w:val="525866"/>
          <w:sz w:val="22"/>
        </w:rPr>
        <w:t>GIS explicitly stated it is "not anticipating an improved consumer environment" and expects consumers to continue being "more deliberate in how and where they shop, buying more on promotion and less on everyday prices." This is a headwind for TSN's branded pricing power in Prepared Foods and retail Chicken.</w:t>
      </w:r>
    </w:p>
    <w:p>
      <w:pPr>
        <w:pStyle w:val="ListBullet"/>
        <w:ind w:left="360" w:hanging="360"/>
      </w:pPr>
      <w:r>
        <w:rPr>
          <w:rFonts w:ascii="Calibri" w:hAnsi="Calibri"/>
          <w:b/>
          <w:color w:val="525866"/>
          <w:sz w:val="22"/>
        </w:rPr>
        <w:t xml:space="preserve">Inflation 4–5% in FY2027 — NEGATIVE read-through: </w:t>
      </w:r>
      <w:r>
        <w:rPr>
          <w:rFonts w:ascii="Calibri" w:hAnsi="Calibri"/>
          <w:color w:val="525866"/>
          <w:sz w:val="22"/>
        </w:rPr>
        <w:t>GIS guided to 4–5% inflation for FY2027 assuming ~$100/barrel oil, with cost savings of $750M needed to offset. This confirms the sector-wide inflationary backdrop that will pressure TSN's input costs in FY2027.</w:t>
      </w:r>
    </w:p>
    <w:p>
      <w:pPr>
        <w:pStyle w:val="ListBullet"/>
        <w:ind w:left="360" w:hanging="360"/>
      </w:pPr>
      <w:r>
        <w:rPr>
          <w:rFonts w:ascii="Calibri" w:hAnsi="Calibri"/>
          <w:b/>
          <w:color w:val="525866"/>
          <w:sz w:val="22"/>
        </w:rPr>
        <w:t xml:space="preserve">At-home eating stable at 86% — POSITIVE read-through: </w:t>
      </w:r>
      <w:r>
        <w:rPr>
          <w:rFonts w:ascii="Calibri" w:hAnsi="Calibri"/>
          <w:color w:val="525866"/>
          <w:sz w:val="22"/>
        </w:rPr>
        <w:t>GIS noted at-home eating consumption remained "pretty stable at 86%" with lower-income households eating slightly more at home and spending more on staples. This supports TSN's retail channel volumes and branded prepared foods demand.</w:t>
      </w:r>
    </w:p>
    <w:p>
      <w:pPr>
        <w:pStyle w:val="ListBullet"/>
        <w:ind w:left="360" w:hanging="360"/>
      </w:pPr>
      <w:r>
        <w:rPr>
          <w:rFonts w:ascii="Calibri" w:hAnsi="Calibri"/>
          <w:b/>
          <w:color w:val="525866"/>
          <w:sz w:val="22"/>
        </w:rPr>
        <w:t xml:space="preserve">Private label gaining share — NEGATIVE read-through: </w:t>
      </w:r>
      <w:r>
        <w:rPr>
          <w:rFonts w:ascii="Calibri" w:hAnsi="Calibri"/>
          <w:color w:val="525866"/>
          <w:sz w:val="22"/>
        </w:rPr>
        <w:t>GIS noted private label had been "stealing share" across categories, requiring the company to take base pricing actions to become more competitive. TSN has been gaining share in branded chicken and prepared foods despite this dynamic, but the private label threat is a watch item.</w:t>
      </w:r>
    </w:p>
    <w:p>
      <w:pPr>
        <w:pStyle w:val="Heading3"/>
      </w:pPr>
      <w:r>
        <w:rPr>
          <w:rFonts w:ascii="Calibri" w:hAnsi="Calibri"/>
          <w:b/>
          <w:color w:val="3B4259"/>
          <w:sz w:val="24"/>
        </w:rPr>
        <w:t>Campbell’s (CPB) — Q3 FY2026 Earnings Call (June 8, 2026)</w:t>
      </w:r>
    </w:p>
    <w:p>
      <w:r>
        <w:rPr>
          <w:rFonts w:ascii="Calibri" w:hAnsi="Calibri"/>
          <w:b/>
          <w:color w:val="525866"/>
          <w:sz w:val="22"/>
        </w:rPr>
        <w:t xml:space="preserve">Relevance: </w:t>
      </w:r>
      <w:r>
        <w:rPr>
          <w:rFonts w:ascii="Calibri" w:hAnsi="Calibri"/>
          <w:color w:val="525866"/>
          <w:sz w:val="22"/>
        </w:rPr>
        <w:t>CPB's fiscal Q3 2026 (February–April 2026) partially overlaps with TSN's Q3 FY2026. CPB's Q4 FY2026 and FY2027 outlook commentary is relevant to the current operating environment.</w:t>
      </w:r>
    </w:p>
    <w:p>
      <w:pPr>
        <w:pStyle w:val="ListBullet"/>
        <w:ind w:left="360" w:hanging="360"/>
      </w:pPr>
      <w:r>
        <w:rPr>
          <w:rFonts w:ascii="Calibri" w:hAnsi="Calibri"/>
          <w:b/>
          <w:color w:val="525866"/>
          <w:sz w:val="22"/>
        </w:rPr>
        <w:t xml:space="preserve">At-home cooking trend resilient — POSITIVE read-through: </w:t>
      </w:r>
      <w:r>
        <w:rPr>
          <w:rFonts w:ascii="Calibri" w:hAnsi="Calibri"/>
          <w:color w:val="525866"/>
          <w:sz w:val="22"/>
        </w:rPr>
        <w:t>CPB confirmed "the at-home cooking consumer trend is resilient" with the cooking part of the portfolio "consistently growing." Consumers are going to the soup aisle to buy condensed cooking products to make scratch meals at home — a tailwind for TSN's Prepared Foods segment (Jimmy Dean, Hillshire Farm) as consumers cook more at home.</w:t>
      </w:r>
    </w:p>
    <w:p>
      <w:pPr>
        <w:pStyle w:val="ListBullet"/>
        <w:ind w:left="360" w:hanging="360"/>
      </w:pPr>
      <w:r>
        <w:rPr>
          <w:rFonts w:ascii="Calibri" w:hAnsi="Calibri"/>
          <w:b/>
          <w:color w:val="525866"/>
          <w:sz w:val="22"/>
        </w:rPr>
        <w:t xml:space="preserve">Inflation 5–6% in FY2027 — NEGATIVE read-through: </w:t>
      </w:r>
      <w:r>
        <w:rPr>
          <w:rFonts w:ascii="Calibri" w:hAnsi="Calibri"/>
          <w:color w:val="525866"/>
          <w:sz w:val="22"/>
        </w:rPr>
        <w:t>CPB flagged potential 5–6% inflation in FY2027 if oil remains around $100/barrel, driven by packaging, logistics, aluminum, and fertilizer costs. This is a sector-wide headwind for TSN's input cost structure.</w:t>
      </w:r>
    </w:p>
    <w:p>
      <w:pPr>
        <w:pStyle w:val="ListBullet"/>
        <w:ind w:left="360" w:hanging="360"/>
      </w:pPr>
      <w:r>
        <w:rPr>
          <w:rFonts w:ascii="Calibri" w:hAnsi="Calibri"/>
          <w:b/>
          <w:color w:val="525866"/>
          <w:sz w:val="22"/>
        </w:rPr>
        <w:t xml:space="preserve">Logistics and fuel costs a headwind — NEGATIVE read-through: </w:t>
      </w:r>
      <w:r>
        <w:rPr>
          <w:rFonts w:ascii="Calibri" w:hAnsi="Calibri"/>
          <w:color w:val="525866"/>
          <w:sz w:val="22"/>
        </w:rPr>
        <w:t>CPB cited a "driver shortage" causing higher logistics and freight inflation, with fuel expected to "remain a headwind" and pressure results year-over-year. TSN management also flagged higher freight and diesel costs in Q2 FY2026 — this headwind is likely to persist into Q3.</w:t>
      </w:r>
    </w:p>
    <w:p>
      <w:pPr>
        <w:pStyle w:val="ListBullet"/>
        <w:ind w:left="360" w:hanging="360"/>
      </w:pPr>
      <w:r>
        <w:rPr>
          <w:rFonts w:ascii="Calibri" w:hAnsi="Calibri"/>
          <w:b/>
          <w:color w:val="525866"/>
          <w:sz w:val="22"/>
        </w:rPr>
        <w:t xml:space="preserve">Trade ROI optimization — NEUTRAL read-through: </w:t>
      </w:r>
      <w:r>
        <w:rPr>
          <w:rFonts w:ascii="Calibri" w:hAnsi="Calibri"/>
          <w:color w:val="525866"/>
          <w:sz w:val="22"/>
        </w:rPr>
        <w:t>CPB is building revenue growth management capabilities and optimizing trade investment ROIs, pulling back from low-return TPRs and focusing on feature/display. This is consistent with TSN's own approach to disciplined promotional spending in Prepared Foods and branded Chicken.</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TSN Q3 FY2026</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PPC (Pilgrim's Pride)</w:t>
            </w:r>
          </w:p>
        </w:tc>
        <w:tc>
          <w:tcPr>
            <w:tcW w:type="dxa" w:w="1728"/>
          </w:tcPr>
          <w:p>
            <w:r>
              <w:rPr>
                <w:rFonts w:ascii="Calibri" w:hAnsi="Calibri"/>
                <w:sz w:val="22"/>
              </w:rPr>
              <w:t>July 30, 2026</w:t>
            </w:r>
          </w:p>
        </w:tc>
        <w:tc>
          <w:tcPr>
            <w:tcW w:type="dxa" w:w="1728"/>
          </w:tcPr>
          <w:p>
            <w:r>
              <w:rPr>
                <w:rFonts w:ascii="Calibri" w:hAnsi="Calibri"/>
                <w:sz w:val="22"/>
              </w:rPr>
              <w:t>27% drop in jumbo cutout values; 4.5% supply growth in Q2; supply growth moderating to 2.5% in H2; prepared chicken volumes +14% YoY</w:t>
            </w:r>
          </w:p>
        </w:tc>
        <w:tc>
          <w:tcPr>
            <w:tcW w:type="dxa" w:w="1728"/>
          </w:tcPr>
          <w:p>
            <w:r>
              <w:rPr>
                <w:rFonts w:ascii="Calibri" w:hAnsi="Calibri"/>
                <w:b/>
                <w:sz w:val="22"/>
              </w:rPr>
              <w:t>MIXED</w:t>
            </w:r>
          </w:p>
        </w:tc>
        <w:tc>
          <w:tcPr>
            <w:tcW w:type="dxa" w:w="1728"/>
          </w:tcPr>
          <w:p>
            <w:r>
              <w:rPr>
                <w:rFonts w:ascii="Calibri" w:hAnsi="Calibri"/>
                <w:sz w:val="22"/>
              </w:rPr>
              <w:t>Very High — direct chicken peer, same calendar quarter</w:t>
            </w:r>
          </w:p>
        </w:tc>
      </w:tr>
      <w:tr>
        <w:tc>
          <w:tcPr>
            <w:tcW w:type="dxa" w:w="1728"/>
          </w:tcPr>
          <w:p>
            <w:r>
              <w:rPr>
                <w:rFonts w:ascii="Calibri" w:hAnsi="Calibri"/>
                <w:sz w:val="22"/>
              </w:rPr>
              <w:t>HRL (Hormel)</w:t>
            </w:r>
          </w:p>
        </w:tc>
        <w:tc>
          <w:tcPr>
            <w:tcW w:type="dxa" w:w="1728"/>
          </w:tcPr>
          <w:p>
            <w:r>
              <w:rPr>
                <w:rFonts w:ascii="Calibri" w:hAnsi="Calibri"/>
                <w:sz w:val="22"/>
              </w:rPr>
              <w:t>May 28, 2026</w:t>
            </w:r>
          </w:p>
        </w:tc>
        <w:tc>
          <w:tcPr>
            <w:tcW w:type="dxa" w:w="1728"/>
          </w:tcPr>
          <w:p>
            <w:r>
              <w:rPr>
                <w:rFonts w:ascii="Calibri" w:hAnsi="Calibri"/>
                <w:sz w:val="22"/>
              </w:rPr>
              <w:t>Protein demand resilient; foodservice traffic challenged; pork/beef costs elevated; Q3 cost pressures (fuel, logistics, commodities) flagged; value-added poultry outperforming</w:t>
            </w:r>
          </w:p>
        </w:tc>
        <w:tc>
          <w:tcPr>
            <w:tcW w:type="dxa" w:w="1728"/>
          </w:tcPr>
          <w:p>
            <w:r>
              <w:rPr>
                <w:rFonts w:ascii="Calibri" w:hAnsi="Calibri"/>
                <w:b/>
                <w:sz w:val="22"/>
              </w:rPr>
              <w:t>MIXED</w:t>
            </w:r>
          </w:p>
        </w:tc>
        <w:tc>
          <w:tcPr>
            <w:tcW w:type="dxa" w:w="1728"/>
          </w:tcPr>
          <w:p>
            <w:r>
              <w:rPr>
                <w:rFonts w:ascii="Calibri" w:hAnsi="Calibri"/>
                <w:sz w:val="22"/>
              </w:rPr>
              <w:t>High — protein peer with overlapping Q3 forward commentary</w:t>
            </w:r>
          </w:p>
        </w:tc>
      </w:tr>
      <w:tr>
        <w:tc>
          <w:tcPr>
            <w:tcW w:type="dxa" w:w="1728"/>
          </w:tcPr>
          <w:p>
            <w:r>
              <w:rPr>
                <w:rFonts w:ascii="Calibri" w:hAnsi="Calibri"/>
                <w:sz w:val="22"/>
              </w:rPr>
              <w:t>CAG (Conagra)</w:t>
            </w:r>
          </w:p>
        </w:tc>
        <w:tc>
          <w:tcPr>
            <w:tcW w:type="dxa" w:w="1728"/>
          </w:tcPr>
          <w:p>
            <w:r>
              <w:rPr>
                <w:rFonts w:ascii="Calibri" w:hAnsi="Calibri"/>
                <w:sz w:val="22"/>
              </w:rPr>
              <w:t>July 15, 2026</w:t>
            </w:r>
          </w:p>
        </w:tc>
        <w:tc>
          <w:tcPr>
            <w:tcW w:type="dxa" w:w="1728"/>
          </w:tcPr>
          <w:p>
            <w:r>
              <w:rPr>
                <w:rFonts w:ascii="Calibri" w:hAnsi="Calibri"/>
                <w:sz w:val="22"/>
              </w:rPr>
              <w:t>Value-conscious consumer; frozen volumes under pressure; inflation 5–6% in FY2027; pricing actions underway</w:t>
            </w:r>
          </w:p>
        </w:tc>
        <w:tc>
          <w:tcPr>
            <w:tcW w:type="dxa" w:w="1728"/>
          </w:tcPr>
          <w:p>
            <w:r>
              <w:rPr>
                <w:rFonts w:ascii="Calibri" w:hAnsi="Calibri"/>
                <w:b/>
                <w:sz w:val="22"/>
              </w:rPr>
              <w:t>SLIGHTLY NEGATIVE</w:t>
            </w:r>
          </w:p>
        </w:tc>
        <w:tc>
          <w:tcPr>
            <w:tcW w:type="dxa" w:w="1728"/>
          </w:tcPr>
          <w:p>
            <w:r>
              <w:rPr>
                <w:rFonts w:ascii="Calibri" w:hAnsi="Calibri"/>
                <w:sz w:val="22"/>
              </w:rPr>
              <w:t>Medium — Prepared Foods overlap; forward-looking FY2027 inflation signal</w:t>
            </w:r>
          </w:p>
        </w:tc>
      </w:tr>
      <w:tr>
        <w:tc>
          <w:tcPr>
            <w:tcW w:type="dxa" w:w="1728"/>
          </w:tcPr>
          <w:p>
            <w:r>
              <w:rPr>
                <w:rFonts w:ascii="Calibri" w:hAnsi="Calibri"/>
                <w:sz w:val="22"/>
              </w:rPr>
              <w:t>GIS (General Mills)</w:t>
            </w:r>
          </w:p>
        </w:tc>
        <w:tc>
          <w:tcPr>
            <w:tcW w:type="dxa" w:w="1728"/>
          </w:tcPr>
          <w:p>
            <w:r>
              <w:rPr>
                <w:rFonts w:ascii="Calibri" w:hAnsi="Calibri"/>
                <w:sz w:val="22"/>
              </w:rPr>
              <w:t>July 1, 2026</w:t>
            </w:r>
          </w:p>
        </w:tc>
        <w:tc>
          <w:tcPr>
            <w:tcW w:type="dxa" w:w="1728"/>
          </w:tcPr>
          <w:p>
            <w:r>
              <w:rPr>
                <w:rFonts w:ascii="Calibri" w:hAnsi="Calibri"/>
                <w:sz w:val="22"/>
              </w:rPr>
              <w:t>Protein is the consumer mega-trend; consumer remains pressured; inflation 4–5% in FY2027; at-home eating stable; private label gaining share</w:t>
            </w:r>
          </w:p>
        </w:tc>
        <w:tc>
          <w:tcPr>
            <w:tcW w:type="dxa" w:w="1728"/>
          </w:tcPr>
          <w:p>
            <w:r>
              <w:rPr>
                <w:rFonts w:ascii="Calibri" w:hAnsi="Calibri"/>
                <w:b/>
                <w:sz w:val="22"/>
              </w:rPr>
              <w:t>MIXED</w:t>
            </w:r>
          </w:p>
        </w:tc>
        <w:tc>
          <w:tcPr>
            <w:tcW w:type="dxa" w:w="1728"/>
          </w:tcPr>
          <w:p>
            <w:r>
              <w:rPr>
                <w:rFonts w:ascii="Calibri" w:hAnsi="Calibri"/>
                <w:sz w:val="22"/>
              </w:rPr>
              <w:t>Medium — consumer staples backdrop; Prepared Foods overlap</w:t>
            </w:r>
          </w:p>
        </w:tc>
      </w:tr>
      <w:tr>
        <w:tc>
          <w:tcPr>
            <w:tcW w:type="dxa" w:w="1728"/>
          </w:tcPr>
          <w:p>
            <w:r>
              <w:rPr>
                <w:rFonts w:ascii="Calibri" w:hAnsi="Calibri"/>
                <w:sz w:val="22"/>
              </w:rPr>
              <w:t>CPB (Campbell's)</w:t>
            </w:r>
          </w:p>
        </w:tc>
        <w:tc>
          <w:tcPr>
            <w:tcW w:type="dxa" w:w="1728"/>
          </w:tcPr>
          <w:p>
            <w:r>
              <w:rPr>
                <w:rFonts w:ascii="Calibri" w:hAnsi="Calibri"/>
                <w:sz w:val="22"/>
              </w:rPr>
              <w:t>June 8, 2026</w:t>
            </w:r>
          </w:p>
        </w:tc>
        <w:tc>
          <w:tcPr>
            <w:tcW w:type="dxa" w:w="1728"/>
          </w:tcPr>
          <w:p>
            <w:r>
              <w:rPr>
                <w:rFonts w:ascii="Calibri" w:hAnsi="Calibri"/>
                <w:sz w:val="22"/>
              </w:rPr>
              <w:t>At-home cooking trend resilient; inflation 5–6% in FY2027; logistics/fuel headwinds persist; trade ROI optimization underway</w:t>
            </w:r>
          </w:p>
        </w:tc>
        <w:tc>
          <w:tcPr>
            <w:tcW w:type="dxa" w:w="1728"/>
          </w:tcPr>
          <w:p>
            <w:r>
              <w:rPr>
                <w:rFonts w:ascii="Calibri" w:hAnsi="Calibri"/>
                <w:b/>
                <w:sz w:val="22"/>
              </w:rPr>
              <w:t>SLIGHTLY NEGATIVE</w:t>
            </w:r>
          </w:p>
        </w:tc>
        <w:tc>
          <w:tcPr>
            <w:tcW w:type="dxa" w:w="1728"/>
          </w:tcPr>
          <w:p>
            <w:r>
              <w:rPr>
                <w:rFonts w:ascii="Calibri" w:hAnsi="Calibri"/>
                <w:sz w:val="22"/>
              </w:rPr>
              <w:t>Medium — Prepared Foods and consumer backdrop overlap</w:t>
            </w:r>
          </w:p>
        </w:tc>
      </w:tr>
    </w:tbl>
    <w:p>
      <w:r>
        <w:rPr>
          <w:rFonts w:ascii="Calibri" w:hAnsi="Calibri"/>
          <w:b/>
          <w:color w:val="525866"/>
          <w:sz w:val="22"/>
        </w:rPr>
        <w:t xml:space="preserve">Bottom line on peer read-throughs: </w:t>
      </w:r>
      <w:r>
        <w:rPr>
          <w:rFonts w:ascii="Calibri" w:hAnsi="Calibri"/>
          <w:color w:val="525866"/>
          <w:sz w:val="22"/>
        </w:rPr>
        <w:t>The most important signal is from PPC (reported July 30, 2026, covering the same calendar quarter as TSN Q3 FY2026) — commodity chicken market softness (27% cutout value decline, 4.5% supply growth) is a real headwind for TSN's commodity chicken exposure. However, TSN's structural differentiation through branded/value-added mix and the genetics business should insulate it from the worst of the commodity pressure. The broader peer commentary confirms: (1) protein demand is structurally strong, (2) the consumer is value-conscious but not abandoning protein, (3) logistics/fuel costs are a sector-wide headwind in Q3, and (4) inflation will remain elevated into FY2027. Net-net, the peer read-through is a modest negative for TSN's Q3 Chicken OI but does not change the full-year thesis.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The most material development since Q2 earnings is the COO transition (Devin Cole out, Wes Morris in) and the disclosure of John Tyson's $40M one-time bonus package — both governance events that have weighed on the stock and raised questions about management stability heading into a critical execution quarter.</w:t>
      </w:r>
    </w:p>
    <w:p>
      <w:pPr>
        <w:pStyle w:val="ListBullet"/>
        <w:ind w:left="360" w:hanging="360"/>
      </w:pPr>
      <w:r>
        <w:rPr>
          <w:rFonts w:ascii="Calibri" w:hAnsi="Calibri"/>
          <w:b/>
          <w:color w:val="525866"/>
          <w:sz w:val="22"/>
        </w:rPr>
        <w:t>June 15, 2026 — COO Transition: Wes Morris appointed COO, Devin Cole steps down.</w:t>
      </w:r>
      <w:r>
        <w:rPr>
          <w:rFonts w:ascii="Calibri" w:hAnsi="Calibri"/>
          <w:color w:val="525866"/>
          <w:sz w:val="22"/>
        </w:rPr>
        <w:t xml:space="preserve"> Devin Cole's departure was announced effective June 15, 2026, with Wes Morris (previously EVP of Operations) taking over as COO. Cole received a $10.6M separation package (lump sum cash payment of $10,578,900) and forfeited all outstanding performance stock. The timing — mid-fiscal-year, ahead of a critical Q3 print — raises questions about operational continuity, though Morris is an internal promotion with deep operational knowledge. Implication: </w:t>
      </w:r>
      <w:r>
        <w:rPr>
          <w:rFonts w:ascii="Calibri" w:hAnsi="Calibri"/>
          <w:i/>
          <w:color w:val="525866"/>
          <w:sz w:val="22"/>
        </w:rPr>
        <w:t>Modest negative for sentiment; watch for any operational disruption commentary on the Q3 call.</w:t>
      </w:r>
    </w:p>
    <w:p>
      <w:pPr>
        <w:pStyle w:val="ListBullet"/>
        <w:ind w:left="360" w:hanging="360"/>
      </w:pPr>
      <w:r>
        <w:rPr>
          <w:rFonts w:ascii="Calibri" w:hAnsi="Calibri"/>
          <w:b/>
          <w:color w:val="525866"/>
          <w:sz w:val="22"/>
        </w:rPr>
        <w:t>June 18, 2026 — John Tyson $40M Bonus Package (8-K).</w:t>
      </w:r>
      <w:r>
        <w:rPr>
          <w:rFonts w:ascii="Calibri" w:hAnsi="Calibri"/>
          <w:color w:val="525866"/>
          <w:sz w:val="22"/>
        </w:rPr>
        <w:t xml:space="preserve"> Tyson Foods filed an 8-K disclosing a Third Amended and Restated Employment Agreement with Chairman John H. Tyson, including a one-time incentive cash payment of $40,000,000, an annual base salary of $3.5M, and a $6M annual long-term incentive target. The agreement runs through September 30, 2029 with automatic three-year renewals. The $40M one-time payment is subject to pro-rata clawback if he voluntarily resigns before September 30, 2029. Implication: </w:t>
      </w:r>
      <w:r>
        <w:rPr>
          <w:rFonts w:ascii="Calibri" w:hAnsi="Calibri"/>
          <w:i/>
          <w:color w:val="525866"/>
          <w:sz w:val="22"/>
        </w:rPr>
        <w:t>Significant governance concern; the $40M bonus to a non-executive Chairman is unusual and has drawn investor scrutiny. This is likely a contributing factor to the stock's underperformance since earnings.</w:t>
      </w:r>
    </w:p>
    <w:p>
      <w:pPr>
        <w:pStyle w:val="ListBullet"/>
        <w:ind w:left="360" w:hanging="360"/>
      </w:pPr>
      <w:r>
        <w:rPr>
          <w:rFonts w:ascii="Calibri" w:hAnsi="Calibri"/>
          <w:b/>
          <w:color w:val="525866"/>
          <w:sz w:val="22"/>
        </w:rPr>
        <w:t>June 23, 2026 — Q3 FY2026 Earnings Call Announced.</w:t>
      </w:r>
      <w:r>
        <w:rPr>
          <w:rFonts w:ascii="Calibri" w:hAnsi="Calibri"/>
          <w:color w:val="525866"/>
          <w:sz w:val="22"/>
        </w:rPr>
        <w:t xml:space="preserve"> Tyson Foods announced its Q3 FY2026 earnings conference call and webcast, confirming the upcoming print. No specific date was disclosed in the press release, but the fiscal quarter ends June 27, 2026, with results expected in early August 2026. Implication: </w:t>
      </w:r>
      <w:r>
        <w:rPr>
          <w:rFonts w:ascii="Calibri" w:hAnsi="Calibri"/>
          <w:i/>
          <w:color w:val="525866"/>
          <w:sz w:val="22"/>
        </w:rPr>
        <w:t>Routine announcement; confirms the earnings timeline.</w:t>
      </w:r>
    </w:p>
    <w:p>
      <w:pPr>
        <w:pStyle w:val="ListBullet"/>
        <w:ind w:left="360" w:hanging="360"/>
      </w:pPr>
      <w:r>
        <w:rPr>
          <w:rFonts w:ascii="Calibri" w:hAnsi="Calibri"/>
          <w:b/>
          <w:color w:val="525866"/>
          <w:sz w:val="22"/>
        </w:rPr>
        <w:t>May 7, 2026 — BMO Global Farm to Market Conference Participation.</w:t>
      </w:r>
      <w:r>
        <w:rPr>
          <w:rFonts w:ascii="Calibri" w:hAnsi="Calibri"/>
          <w:color w:val="525866"/>
          <w:sz w:val="22"/>
        </w:rPr>
        <w:t xml:space="preserve"> Tyson Foods participated in the 21st Annual BMO Global Farm to Market Conference shortly after Q2 earnings. Management typically reiterates guidance and provides color on segment trends at this conference. No material guidance changes were disclosed. Implication: </w:t>
      </w:r>
      <w:r>
        <w:rPr>
          <w:rFonts w:ascii="Calibri" w:hAnsi="Calibri"/>
          <w:i/>
          <w:color w:val="525866"/>
          <w:sz w:val="22"/>
        </w:rPr>
        <w:t>Neutral; management tone at the conference was consistent with the raised guidance from the Q2 call.</w:t>
      </w:r>
    </w:p>
    <w:p>
      <w:pPr>
        <w:pStyle w:val="ListBullet"/>
        <w:ind w:left="360" w:hanging="360"/>
      </w:pPr>
      <w:r>
        <w:rPr>
          <w:rFonts w:ascii="Calibri" w:hAnsi="Calibri"/>
          <w:b/>
          <w:color w:val="525866"/>
          <w:sz w:val="22"/>
        </w:rPr>
        <w:t>Ongoing — Beef Footprint Optimization.</w:t>
      </w:r>
      <w:r>
        <w:rPr>
          <w:rFonts w:ascii="Calibri" w:hAnsi="Calibri"/>
          <w:color w:val="525866"/>
          <w:sz w:val="22"/>
        </w:rPr>
        <w:t xml:space="preserve"> Q3 FY2026 is the first full quarter operating within the reduced Beef footprint (Lexington facility closed, Amarillo scaled to single shift, both implemented in Q2). Management guided to lower Beef losses in the back half vs. the front half. Implication: </w:t>
      </w:r>
      <w:r>
        <w:rPr>
          <w:rFonts w:ascii="Calibri" w:hAnsi="Calibri"/>
          <w:i/>
          <w:color w:val="525866"/>
          <w:sz w:val="22"/>
        </w:rPr>
        <w:t>Positive for Beef segment sequential improvement; the footprint actions are the primary driver of the expected loss narrowing.</w:t>
      </w:r>
    </w:p>
    <w:p>
      <w:pPr>
        <w:pStyle w:val="ListBullet"/>
        <w:ind w:left="360" w:hanging="360"/>
      </w:pPr>
      <w:r>
        <w:rPr>
          <w:rFonts w:ascii="Calibri" w:hAnsi="Calibri"/>
          <w:b/>
          <w:color w:val="525866"/>
          <w:sz w:val="22"/>
        </w:rPr>
        <w:t>Ongoing — Chicken Genetics Business Ramp.</w:t>
      </w:r>
      <w:r>
        <w:rPr>
          <w:rFonts w:ascii="Calibri" w:hAnsi="Calibri"/>
          <w:color w:val="525866"/>
          <w:sz w:val="22"/>
        </w:rPr>
        <w:t xml:space="preserve"> Management disclosed that roughly a quarter of the intended big-bird population has been transitioned to next-generation genetics, with full flow-through to the domestic chicken business expected by mid-2027. The genetics business contributed ~1/3 of the Q2 year-over-year improvement in Chicken OI. Implication: </w:t>
      </w:r>
      <w:r>
        <w:rPr>
          <w:rFonts w:ascii="Calibri" w:hAnsi="Calibri"/>
          <w:i/>
          <w:color w:val="525866"/>
          <w:sz w:val="22"/>
        </w:rPr>
        <w:t>Structural positive; the genetics contribution should persist and grow through FY2027.</w:t>
      </w:r>
    </w:p>
    <w:p>
      <w:pPr>
        <w:pStyle w:val="ListBullet"/>
        <w:ind w:left="360" w:hanging="360"/>
      </w:pPr>
      <w:r>
        <w:rPr>
          <w:rFonts w:ascii="Calibri" w:hAnsi="Calibri"/>
          <w:b/>
          <w:color w:val="525866"/>
          <w:sz w:val="22"/>
        </w:rPr>
        <w:t>Ongoing — Koch Foods Fire (Competitor).</w:t>
      </w:r>
      <w:r>
        <w:rPr>
          <w:rFonts w:ascii="Calibri" w:hAnsi="Calibri"/>
          <w:color w:val="525866"/>
          <w:sz w:val="22"/>
        </w:rPr>
        <w:t xml:space="preserve"> Management explicitly denied any volume benefit from the Koch Foods facility fire in Q2, noting zero Koch-related volume in Q2 but acknowledged potential for nascent incremental volume in the back half given available capacity. Implication: </w:t>
      </w:r>
      <w:r>
        <w:rPr>
          <w:rFonts w:ascii="Calibri" w:hAnsi="Calibri"/>
          <w:i/>
          <w:color w:val="525866"/>
          <w:sz w:val="22"/>
        </w:rPr>
        <w:t>Potential modest positive for Q3 Chicken volumes if Koch-related volume materializes; management was cautious in quantifying.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insiders since Q2 earnings — all Form 4 activity reflects equity award grants (code A) and tax withholding dispositions (code F) related to the COO transition and annual compensation cycle. The absence of open-market buying despite a ~16% stock decline since earnings is notable but not alarming given the governance noise around the COO change.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Wes Morris</w:t>
            </w:r>
          </w:p>
        </w:tc>
        <w:tc>
          <w:tcPr>
            <w:tcW w:type="dxa" w:w="1440"/>
          </w:tcPr>
          <w:p>
            <w:r>
              <w:rPr>
                <w:rFonts w:ascii="Calibri" w:hAnsi="Calibri"/>
                <w:sz w:val="22"/>
              </w:rPr>
              <w:t>Chief Operating Officer</w:t>
            </w:r>
          </w:p>
        </w:tc>
        <w:tc>
          <w:tcPr>
            <w:tcW w:type="dxa" w:w="1440"/>
          </w:tcPr>
          <w:p>
            <w:r>
              <w:rPr>
                <w:rFonts w:ascii="Calibri" w:hAnsi="Calibri"/>
                <w:sz w:val="22"/>
              </w:rPr>
              <w:t>Equity Award Grant (Code A)</w:t>
            </w:r>
          </w:p>
        </w:tc>
        <w:tc>
          <w:tcPr>
            <w:tcW w:type="dxa" w:w="1440"/>
          </w:tcPr>
          <w:p>
            <w:r>
              <w:rPr>
                <w:rFonts w:ascii="Calibri" w:hAnsi="Calibri"/>
                <w:sz w:val="22"/>
              </w:rPr>
              <w:t>25,938 shares (Class A Common Stock)</w:t>
            </w:r>
          </w:p>
        </w:tc>
        <w:tc>
          <w:tcPr>
            <w:tcW w:type="dxa" w:w="1440"/>
          </w:tcPr>
          <w:p>
            <w:r>
              <w:rPr>
                <w:rFonts w:ascii="Calibri" w:hAnsi="Calibri"/>
                <w:sz w:val="22"/>
              </w:rPr>
              <w:t>July 10, 2026</w:t>
            </w:r>
          </w:p>
        </w:tc>
        <w:tc>
          <w:tcPr>
            <w:tcW w:type="dxa" w:w="1440"/>
          </w:tcPr>
          <w:p>
            <w:r>
              <w:rPr>
                <w:rFonts w:ascii="Calibri" w:hAnsi="Calibri"/>
                <w:sz w:val="22"/>
              </w:rPr>
              <w:t>Award grant in connection with COO appointment (June 15, 2026); not an open-market purchase; no cash outlay by insider</w:t>
            </w:r>
          </w:p>
        </w:tc>
      </w:tr>
      <w:tr>
        <w:tc>
          <w:tcPr>
            <w:tcW w:type="dxa" w:w="1440"/>
          </w:tcPr>
          <w:p>
            <w:r>
              <w:rPr>
                <w:rFonts w:ascii="Calibri" w:hAnsi="Calibri"/>
                <w:sz w:val="22"/>
              </w:rPr>
              <w:t>Jeffrey K. Schomburger</w:t>
            </w:r>
          </w:p>
        </w:tc>
        <w:tc>
          <w:tcPr>
            <w:tcW w:type="dxa" w:w="1440"/>
          </w:tcPr>
          <w:p>
            <w:r>
              <w:rPr>
                <w:rFonts w:ascii="Calibri" w:hAnsi="Calibri"/>
                <w:sz w:val="22"/>
              </w:rPr>
              <w:t>President &amp; CEO Elect, Director</w:t>
            </w:r>
          </w:p>
        </w:tc>
        <w:tc>
          <w:tcPr>
            <w:tcW w:type="dxa" w:w="1440"/>
          </w:tcPr>
          <w:p>
            <w:r>
              <w:rPr>
                <w:rFonts w:ascii="Calibri" w:hAnsi="Calibri"/>
                <w:sz w:val="22"/>
              </w:rPr>
              <w:t>Equity Award Grant (Code A)</w:t>
            </w:r>
          </w:p>
        </w:tc>
        <w:tc>
          <w:tcPr>
            <w:tcW w:type="dxa" w:w="1440"/>
          </w:tcPr>
          <w:p>
            <w:r>
              <w:rPr>
                <w:rFonts w:ascii="Calibri" w:hAnsi="Calibri"/>
                <w:sz w:val="22"/>
              </w:rPr>
              <w:t>48,418 shares (Class A Common Stock)</w:t>
            </w:r>
          </w:p>
        </w:tc>
        <w:tc>
          <w:tcPr>
            <w:tcW w:type="dxa" w:w="1440"/>
          </w:tcPr>
          <w:p>
            <w:r>
              <w:rPr>
                <w:rFonts w:ascii="Calibri" w:hAnsi="Calibri"/>
                <w:sz w:val="22"/>
              </w:rPr>
              <w:t>July 10, 2026</w:t>
            </w:r>
          </w:p>
        </w:tc>
        <w:tc>
          <w:tcPr>
            <w:tcW w:type="dxa" w:w="1440"/>
          </w:tcPr>
          <w:p>
            <w:r>
              <w:rPr>
                <w:rFonts w:ascii="Calibri" w:hAnsi="Calibri"/>
                <w:sz w:val="22"/>
              </w:rPr>
              <w:t>Annual equity award grant; not an open-market purchase; aligns CEO-elect compensation with shareholder value</w:t>
            </w:r>
          </w:p>
        </w:tc>
      </w:tr>
      <w:tr>
        <w:tc>
          <w:tcPr>
            <w:tcW w:type="dxa" w:w="1440"/>
          </w:tcPr>
          <w:p>
            <w:r>
              <w:rPr>
                <w:rFonts w:ascii="Calibri" w:hAnsi="Calibri"/>
                <w:sz w:val="22"/>
              </w:rPr>
              <w:t>John H. Tyson</w:t>
            </w:r>
          </w:p>
        </w:tc>
        <w:tc>
          <w:tcPr>
            <w:tcW w:type="dxa" w:w="1440"/>
          </w:tcPr>
          <w:p>
            <w:r>
              <w:rPr>
                <w:rFonts w:ascii="Calibri" w:hAnsi="Calibri"/>
                <w:sz w:val="22"/>
              </w:rPr>
              <w:t>Chairman of the Board, Director</w:t>
            </w:r>
          </w:p>
        </w:tc>
        <w:tc>
          <w:tcPr>
            <w:tcW w:type="dxa" w:w="1440"/>
          </w:tcPr>
          <w:p>
            <w:r>
              <w:rPr>
                <w:rFonts w:ascii="Calibri" w:hAnsi="Calibri"/>
                <w:sz w:val="22"/>
              </w:rPr>
              <w:t>Performance Share Award Grant (Code A)</w:t>
            </w:r>
          </w:p>
        </w:tc>
        <w:tc>
          <w:tcPr>
            <w:tcW w:type="dxa" w:w="1440"/>
          </w:tcPr>
          <w:p>
            <w:r>
              <w:rPr>
                <w:rFonts w:ascii="Calibri" w:hAnsi="Calibri"/>
                <w:sz w:val="22"/>
              </w:rPr>
              <w:t>51,876 performance shares</w:t>
            </w:r>
          </w:p>
        </w:tc>
        <w:tc>
          <w:tcPr>
            <w:tcW w:type="dxa" w:w="1440"/>
          </w:tcPr>
          <w:p>
            <w:r>
              <w:rPr>
                <w:rFonts w:ascii="Calibri" w:hAnsi="Calibri"/>
                <w:sz w:val="22"/>
              </w:rPr>
              <w:t>July 10, 2026</w:t>
            </w:r>
          </w:p>
        </w:tc>
        <w:tc>
          <w:tcPr>
            <w:tcW w:type="dxa" w:w="1440"/>
          </w:tcPr>
          <w:p>
            <w:r>
              <w:rPr>
                <w:rFonts w:ascii="Calibri" w:hAnsi="Calibri"/>
                <w:sz w:val="22"/>
              </w:rPr>
              <w:t>Performance stock grant under new employment agreement (June 17, 2026 8-K); 50% of LTI is performance stock units; not an open-market purchase</w:t>
            </w:r>
          </w:p>
        </w:tc>
      </w:tr>
      <w:tr>
        <w:tc>
          <w:tcPr>
            <w:tcW w:type="dxa" w:w="1440"/>
          </w:tcPr>
          <w:p>
            <w:r>
              <w:rPr>
                <w:rFonts w:ascii="Calibri" w:hAnsi="Calibri"/>
                <w:sz w:val="22"/>
              </w:rPr>
              <w:t>Devin Cole</w:t>
            </w:r>
          </w:p>
        </w:tc>
        <w:tc>
          <w:tcPr>
            <w:tcW w:type="dxa" w:w="1440"/>
          </w:tcPr>
          <w:p>
            <w:r>
              <w:rPr>
                <w:rFonts w:ascii="Calibri" w:hAnsi="Calibri"/>
                <w:sz w:val="22"/>
              </w:rPr>
              <w:t>Former Chief Operating Officer</w:t>
            </w:r>
          </w:p>
        </w:tc>
        <w:tc>
          <w:tcPr>
            <w:tcW w:type="dxa" w:w="1440"/>
          </w:tcPr>
          <w:p>
            <w:r>
              <w:rPr>
                <w:rFonts w:ascii="Calibri" w:hAnsi="Calibri"/>
                <w:sz w:val="22"/>
              </w:rPr>
              <w:t>Disposition — Tax Withholding (Code F)</w:t>
            </w:r>
          </w:p>
        </w:tc>
        <w:tc>
          <w:tcPr>
            <w:tcW w:type="dxa" w:w="1440"/>
          </w:tcPr>
          <w:p>
            <w:r>
              <w:rPr>
                <w:rFonts w:ascii="Calibri" w:hAnsi="Calibri"/>
                <w:sz w:val="22"/>
              </w:rPr>
              <w:t>766 shares (May 9, 2026)</w:t>
            </w:r>
          </w:p>
        </w:tc>
        <w:tc>
          <w:tcPr>
            <w:tcW w:type="dxa" w:w="1440"/>
          </w:tcPr>
          <w:p>
            <w:r>
              <w:rPr>
                <w:rFonts w:ascii="Calibri" w:hAnsi="Calibri"/>
                <w:sz w:val="22"/>
              </w:rPr>
              <w:t>May 9–10, 2026</w:t>
            </w:r>
          </w:p>
        </w:tc>
        <w:tc>
          <w:tcPr>
            <w:tcW w:type="dxa" w:w="1440"/>
          </w:tcPr>
          <w:p>
            <w:r>
              <w:rPr>
                <w:rFonts w:ascii="Calibri" w:hAnsi="Calibri"/>
                <w:sz w:val="22"/>
              </w:rPr>
              <w:t>Tax withholding on vesting equity; not a discretionary sale; routine obligation-driven disposition</w:t>
            </w:r>
          </w:p>
        </w:tc>
      </w:tr>
      <w:tr>
        <w:tc>
          <w:tcPr>
            <w:tcW w:type="dxa" w:w="1440"/>
          </w:tcPr>
          <w:p>
            <w:r>
              <w:rPr>
                <w:rFonts w:ascii="Calibri" w:hAnsi="Calibri"/>
                <w:sz w:val="22"/>
              </w:rPr>
              <w:t>Devin Cole</w:t>
            </w:r>
          </w:p>
        </w:tc>
        <w:tc>
          <w:tcPr>
            <w:tcW w:type="dxa" w:w="1440"/>
          </w:tcPr>
          <w:p>
            <w:r>
              <w:rPr>
                <w:rFonts w:ascii="Calibri" w:hAnsi="Calibri"/>
                <w:sz w:val="22"/>
              </w:rPr>
              <w:t>Former Chief Operating Officer</w:t>
            </w:r>
          </w:p>
        </w:tc>
        <w:tc>
          <w:tcPr>
            <w:tcW w:type="dxa" w:w="1440"/>
          </w:tcPr>
          <w:p>
            <w:r>
              <w:rPr>
                <w:rFonts w:ascii="Calibri" w:hAnsi="Calibri"/>
                <w:sz w:val="22"/>
              </w:rPr>
              <w:t>Disposition — Tax Withholding (Code F)</w:t>
            </w:r>
          </w:p>
        </w:tc>
        <w:tc>
          <w:tcPr>
            <w:tcW w:type="dxa" w:w="1440"/>
          </w:tcPr>
          <w:p>
            <w:r>
              <w:rPr>
                <w:rFonts w:ascii="Calibri" w:hAnsi="Calibri"/>
                <w:sz w:val="22"/>
              </w:rPr>
              <w:t>10,525 shares (May 10, 2026)</w:t>
            </w:r>
          </w:p>
        </w:tc>
        <w:tc>
          <w:tcPr>
            <w:tcW w:type="dxa" w:w="1440"/>
          </w:tcPr>
          <w:p>
            <w:r>
              <w:rPr>
                <w:rFonts w:ascii="Calibri" w:hAnsi="Calibri"/>
                <w:sz w:val="22"/>
              </w:rPr>
              <w:t>May 10, 2026</w:t>
            </w:r>
          </w:p>
        </w:tc>
        <w:tc>
          <w:tcPr>
            <w:tcW w:type="dxa" w:w="1440"/>
          </w:tcPr>
          <w:p>
            <w:r>
              <w:rPr>
                <w:rFonts w:ascii="Calibri" w:hAnsi="Calibri"/>
                <w:sz w:val="22"/>
              </w:rPr>
              <w:t>Tax withholding on vesting equity; not a discretionary sale; routine obligation-driven disposition</w:t>
            </w:r>
          </w:p>
        </w:tc>
      </w:tr>
      <w:tr>
        <w:tc>
          <w:tcPr>
            <w:tcW w:type="dxa" w:w="1440"/>
          </w:tcPr>
          <w:p>
            <w:r>
              <w:rPr>
                <w:rFonts w:ascii="Calibri" w:hAnsi="Calibri"/>
                <w:sz w:val="22"/>
              </w:rPr>
              <w:t>Devin Cole</w:t>
            </w:r>
          </w:p>
        </w:tc>
        <w:tc>
          <w:tcPr>
            <w:tcW w:type="dxa" w:w="1440"/>
          </w:tcPr>
          <w:p>
            <w:r>
              <w:rPr>
                <w:rFonts w:ascii="Calibri" w:hAnsi="Calibri"/>
                <w:sz w:val="22"/>
              </w:rPr>
              <w:t>Former Chief Operating Officer</w:t>
            </w:r>
          </w:p>
        </w:tc>
        <w:tc>
          <w:tcPr>
            <w:tcW w:type="dxa" w:w="1440"/>
          </w:tcPr>
          <w:p>
            <w:r>
              <w:rPr>
                <w:rFonts w:ascii="Calibri" w:hAnsi="Calibri"/>
                <w:sz w:val="22"/>
              </w:rPr>
              <w:t>Disposition — Other (Code J)</w:t>
            </w:r>
          </w:p>
        </w:tc>
        <w:tc>
          <w:tcPr>
            <w:tcW w:type="dxa" w:w="1440"/>
          </w:tcPr>
          <w:p>
            <w:r>
              <w:rPr>
                <w:rFonts w:ascii="Calibri" w:hAnsi="Calibri"/>
                <w:sz w:val="22"/>
              </w:rPr>
              <w:t>24,923 shares (Dec 23, 2025)</w:t>
            </w:r>
          </w:p>
        </w:tc>
        <w:tc>
          <w:tcPr>
            <w:tcW w:type="dxa" w:w="1440"/>
          </w:tcPr>
          <w:p>
            <w:r>
              <w:rPr>
                <w:rFonts w:ascii="Calibri" w:hAnsi="Calibri"/>
                <w:sz w:val="22"/>
              </w:rPr>
              <w:t>Dec 23, 2025 (filed May 11, 2026)</w:t>
            </w:r>
          </w:p>
        </w:tc>
        <w:tc>
          <w:tcPr>
            <w:tcW w:type="dxa" w:w="1440"/>
          </w:tcPr>
          <w:p>
            <w:r>
              <w:rPr>
                <w:rFonts w:ascii="Calibri" w:hAnsi="Calibri"/>
                <w:sz w:val="22"/>
              </w:rPr>
              <w:t>Late-filed Form 4; Code J = other acquisition/disposition (likely related to separation agreement or equity plan mechanics); not a discretionary open-market sale</w:t>
            </w:r>
          </w:p>
        </w:tc>
      </w:tr>
    </w:tbl>
    <w:p>
      <w:r>
        <w:rPr>
          <w:rFonts w:ascii="Calibri" w:hAnsi="Calibri"/>
          <w:b/>
          <w:color w:val="525866"/>
          <w:sz w:val="22"/>
        </w:rPr>
        <w:t xml:space="preserve">Summary: </w:t>
      </w:r>
      <w:r>
        <w:rPr>
          <w:rFonts w:ascii="Calibri" w:hAnsi="Calibri"/>
          <w:color w:val="525866"/>
          <w:sz w:val="22"/>
        </w:rPr>
        <w:t>There are no open-market buys (Form 4 Code P) or discretionary open-market sells (Form 4 Code S) by TSN insiders in the period since Q2 earnings. All Form 4 activity reflects equity award grants (Code A) to new/continuing executives and tax withholding dispositions (Code F) by the departing COO. The absence of open-market buying by insiders despite a ~16% stock decline is worth noting — it may reflect blackout period restrictions ahead of the Q3 print, or simply that insiders are not yet signaling conviction at current prices. No 10b5-1 plan initiations were identified in the filing window.</w:t>
      </w:r>
    </w:p>
    <w:p>
      <w:r>
        <w:rPr>
          <w:rFonts w:ascii="Calibri" w:hAnsi="Calibri"/>
          <w:i/>
          <w:color w:val="525866"/>
          <w:sz w:val="22"/>
        </w:rPr>
        <w:t>Source: SEC Form 4 Filings Database. Filing date window: May 4, 2026 – August 2,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