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sn-earnings-predictions--2026-08-03"/>
    <w:p>
      <w:pPr>
        <w:pStyle w:val="Heading1"/>
      </w:pPr>
      <w:r>
        <w:t xml:space="preserve">TSN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~$0.98 vs. cons $0.966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Chicken 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~$495M vs. cons $489.1M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Beef operating loss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~$(160)M vs. cons $(149.4)M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Chicken operating income (FY2026)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1.90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2.05B vs. cons $2.008B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Beef operating loss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rPr>
                  <m:sty m:val="p"/>
                </m:rPr>
                <m:t>(</m:t>
              </m:r>
              <m:r>
                <m:t>500</m:t>
              </m:r>
              <m:r>
                <m:rPr>
                  <m:sty m:val="p"/>
                </m:rPr>
                <m:t>)</m:t>
              </m:r>
              <m:r>
                <m:t>M</m:t>
              </m:r>
              <m:r>
                <m:rPr>
                  <m:sty m:val="p"/>
                </m:rPr>
                <m:t>−</m:t>
              </m:r>
            </m:oMath>
            <w:r>
              <w:t xml:space="preserve">(350)M vs. cons $(573)M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Prepared Foods operating income (FY2026)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1.25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1.35B vs. cons $1.314B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out-period reset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2026-08-04T02:01:12Z</dcterms:created>
  <dcterms:modified xsi:type="dcterms:W3CDTF">2026-08-04T02:01:12Z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