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Tyson Foods (TSN) — Q3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Tyson Foods, Inc.</w:t>
            </w:r>
          </w:p>
        </w:tc>
      </w:tr>
      <w:tr>
        <w:tc>
          <w:tcPr>
            <w:tcW w:type="dxa" w:w="4320"/>
          </w:tcPr>
          <w:p>
            <w:r>
              <w:rPr>
                <w:rFonts w:ascii="Calibri" w:hAnsi="Calibri"/>
                <w:b/>
                <w:sz w:val="22"/>
              </w:rPr>
              <w:t>Ticker</w:t>
            </w:r>
          </w:p>
        </w:tc>
        <w:tc>
          <w:tcPr>
            <w:tcW w:type="dxa" w:w="4320"/>
          </w:tcPr>
          <w:p>
            <w:r>
              <w:rPr>
                <w:rFonts w:ascii="Calibri" w:hAnsi="Calibri"/>
                <w:sz w:val="22"/>
              </w:rPr>
              <w:t>TSN (NYSE)</w:t>
            </w:r>
          </w:p>
        </w:tc>
      </w:tr>
      <w:tr>
        <w:tc>
          <w:tcPr>
            <w:tcW w:type="dxa" w:w="4320"/>
          </w:tcPr>
          <w:p>
            <w:r>
              <w:rPr>
                <w:rFonts w:ascii="Calibri" w:hAnsi="Calibri"/>
                <w:b/>
                <w:sz w:val="22"/>
              </w:rPr>
              <w:t>Reporting Period</w:t>
            </w:r>
          </w:p>
        </w:tc>
        <w:tc>
          <w:tcPr>
            <w:tcW w:type="dxa" w:w="4320"/>
          </w:tcPr>
          <w:p>
            <w:r>
              <w:rPr>
                <w:rFonts w:ascii="Calibri" w:hAnsi="Calibri"/>
                <w:sz w:val="22"/>
              </w:rPr>
              <w:t>Fiscal Q3 2026 (quarter ended June 28, 2026)</w:t>
            </w:r>
          </w:p>
        </w:tc>
      </w:tr>
      <w:tr>
        <w:tc>
          <w:tcPr>
            <w:tcW w:type="dxa" w:w="4320"/>
          </w:tcPr>
          <w:p>
            <w:r>
              <w:rPr>
                <w:rFonts w:ascii="Calibri" w:hAnsi="Calibri"/>
                <w:b/>
                <w:sz w:val="22"/>
              </w:rPr>
              <w:t>Earnings Date</w:t>
            </w:r>
          </w:p>
        </w:tc>
        <w:tc>
          <w:tcPr>
            <w:tcW w:type="dxa" w:w="4320"/>
          </w:tcPr>
          <w:p>
            <w:r>
              <w:rPr>
                <w:rFonts w:ascii="Calibri" w:hAnsi="Calibri"/>
                <w:sz w:val="22"/>
              </w:rPr>
              <w:t>August 3, 2026 — 9:00 AM ET</w:t>
            </w:r>
          </w:p>
        </w:tc>
      </w:tr>
      <w:tr>
        <w:tc>
          <w:tcPr>
            <w:tcW w:type="dxa" w:w="4320"/>
          </w:tcPr>
          <w:p>
            <w:r>
              <w:rPr>
                <w:rFonts w:ascii="Calibri" w:hAnsi="Calibri"/>
                <w:b/>
                <w:sz w:val="22"/>
              </w:rPr>
              <w:t>Prepared</w:t>
            </w:r>
          </w:p>
        </w:tc>
        <w:tc>
          <w:tcPr>
            <w:tcW w:type="dxa" w:w="4320"/>
          </w:tcPr>
          <w:p>
            <w:r>
              <w:rPr>
                <w:rFonts w:ascii="Calibri" w:hAnsi="Calibri"/>
                <w:sz w:val="22"/>
              </w:rPr>
              <w:t>August 2, 2026</w:t>
            </w:r>
          </w:p>
        </w:tc>
      </w:tr>
      <w:tr>
        <w:tc>
          <w:tcPr>
            <w:tcW w:type="dxa" w:w="4320"/>
          </w:tcPr>
          <w:p>
            <w:r>
              <w:rPr>
                <w:rFonts w:ascii="Calibri" w:hAnsi="Calibri"/>
                <w:b/>
                <w:sz w:val="22"/>
              </w:rPr>
              <w:t>Sector ETF Benchmark</w:t>
            </w:r>
          </w:p>
        </w:tc>
        <w:tc>
          <w:tcPr>
            <w:tcW w:type="dxa" w:w="4320"/>
          </w:tcPr>
          <w:p>
            <w:r>
              <w:rPr>
                <w:rFonts w:ascii="Calibri" w:hAnsi="Calibri"/>
                <w:sz w:val="22"/>
              </w:rPr>
              <w:t>XLP (Consumer Staples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on Chicken and Prepared Foods, but the magnitude of Beef losses and any commentary on the cattle supply recovery timeline is the single biggest swing factor for the stock.</w:t>
      </w:r>
    </w:p>
    <w:p>
      <w:r>
        <w:rPr>
          <w:rFonts w:ascii="Calibri" w:hAnsi="Calibri"/>
          <w:color w:val="525866"/>
          <w:sz w:val="22"/>
        </w:rPr>
        <w:t xml:space="preserve">Heading into Q3 FY2026, the bar for TSN is achievable but not low: consensus Diluted EPS (Operating) sits at </w:t>
      </w:r>
      <w:r>
        <w:rPr>
          <w:rFonts w:ascii="Calibri" w:hAnsi="Calibri"/>
          <w:b/>
          <w:color w:val="525866"/>
          <w:sz w:val="22"/>
        </w:rPr>
        <w:t>$0.97</w:t>
      </w:r>
      <w:r>
        <w:rPr>
          <w:rFonts w:ascii="Calibri" w:hAnsi="Calibri"/>
          <w:color w:val="525866"/>
          <w:sz w:val="22"/>
        </w:rPr>
        <w:t xml:space="preserve"> versus $0.91 in the prior-year period, implying modest year-over-year improvement despite a structurally challenged Beef segment. Management's tone on the Q2 call was the most confident in several quarters — they raised Chicken segment AOI guidance by $200M at the midpoint to $1.9–$2.05B and explicitly guided the back half to look "as good as or better than the first half," trending toward the upper end of the range. Estimate revisions have moved constructively since the May 4 print, with Q3 EPS consensus rising from $1.05 to $0.97 (the as-of-date baseline was $1.05 on May 11; current is $0.97, reflecting some normalization of commodity chicken pricing expectations), while the stock has given back roughly </w:t>
      </w:r>
      <w:r>
        <w:rPr>
          <w:rFonts w:ascii="Calibri" w:hAnsi="Calibri"/>
          <w:b/>
          <w:color w:val="525866"/>
          <w:sz w:val="22"/>
        </w:rPr>
        <w:t>15.6%</w:t>
      </w:r>
      <w:r>
        <w:rPr>
          <w:rFonts w:ascii="Calibri" w:hAnsi="Calibri"/>
          <w:color w:val="525866"/>
          <w:sz w:val="22"/>
        </w:rPr>
        <w:t xml:space="preserve"> from its post-earnings high, underperforming both XLP and the S&amp;P 500 since the last print — suggesting the market is not pricing in a beat and the multiple has compressed. The wildcard is the </w:t>
      </w:r>
      <w:r>
        <w:rPr>
          <w:rFonts w:ascii="Calibri" w:hAnsi="Calibri"/>
          <w:b/>
          <w:color w:val="525866"/>
          <w:sz w:val="22"/>
        </w:rPr>
        <w:t>USDA’s July 25 announcement resuming cattle imports from Mexico</w:t>
      </w:r>
      <w:r>
        <w:rPr>
          <w:rFonts w:ascii="Calibri" w:hAnsi="Calibri"/>
          <w:color w:val="525866"/>
          <w:sz w:val="22"/>
        </w:rPr>
        <w:t>, which sent TSN shares up nearly 7% intraday on July 27 and could meaningfully reduce Beef losses in the back half if supply normalizes faster than the current guidance range of $(500)M to $(350)M implies.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Chicken segment operating income is the primary beat/miss driver — consensus at $489M implies a step-down from Q2’s $523M, which management’s own guidance suggests is too conservative. Beef losses remain the drag, with consensus at $(149)M for Q3.</w:t>
      </w:r>
    </w:p>
    <w:p>
      <w:pPr>
        <w:pStyle w:val="Heading3"/>
      </w:pPr>
      <w:r>
        <w:rPr>
          <w:rFonts w:ascii="Calibri" w:hAnsi="Calibri"/>
          <w:b/>
          <w:color w:val="3B4259"/>
          <w:sz w:val="24"/>
        </w:rPr>
        <w:t>Table 1 — Q3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 (Last Quarter)</w:t>
            </w:r>
          </w:p>
        </w:tc>
        <w:tc>
          <w:tcPr>
            <w:tcW w:type="dxa" w:w="1234"/>
            <w:shd w:val="clear" w:color="auto" w:fill="3B4259"/>
          </w:tcPr>
          <w:p>
            <w:r>
              <w:rPr>
                <w:rFonts w:ascii="Calibri" w:hAnsi="Calibri"/>
                <w:b/>
                <w:color w:val="FFFFFF"/>
                <w:sz w:val="22"/>
              </w:rPr>
              <w:t>Q3 FY2025 Actual (Prior Year Period)</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Sales ($B)</w:t>
            </w:r>
          </w:p>
        </w:tc>
        <w:tc>
          <w:tcPr>
            <w:tcW w:type="dxa" w:w="1234"/>
          </w:tcPr>
          <w:p>
            <w:r>
              <w:rPr>
                <w:rFonts w:ascii="Calibri" w:hAnsi="Calibri"/>
                <w:sz w:val="22"/>
              </w:rPr>
              <w:t>$13.65B</w:t>
            </w:r>
          </w:p>
        </w:tc>
        <w:tc>
          <w:tcPr>
            <w:tcW w:type="dxa" w:w="1234"/>
          </w:tcPr>
          <w:p>
            <w:r>
              <w:rPr>
                <w:rFonts w:ascii="Calibri" w:hAnsi="Calibri"/>
                <w:sz w:val="22"/>
              </w:rPr>
              <w:t>$13.88B</w:t>
            </w:r>
          </w:p>
        </w:tc>
        <w:tc>
          <w:tcPr>
            <w:tcW w:type="dxa" w:w="1234"/>
          </w:tcPr>
          <w:p>
            <w:r>
              <w:rPr>
                <w:rFonts w:ascii="Calibri" w:hAnsi="Calibri"/>
                <w:sz w:val="22"/>
              </w:rPr>
              <w:t>$14.01B</w:t>
            </w:r>
          </w:p>
        </w:tc>
        <w:tc>
          <w:tcPr>
            <w:tcW w:type="dxa" w:w="1234"/>
          </w:tcPr>
          <w:p>
            <w:r>
              <w:rPr>
                <w:rFonts w:ascii="Calibri" w:hAnsi="Calibri"/>
                <w:sz w:val="22"/>
              </w:rPr>
              <w:t>+0.9% YoY</w:t>
            </w:r>
          </w:p>
        </w:tc>
        <w:tc>
          <w:tcPr>
            <w:tcW w:type="dxa" w:w="1234"/>
          </w:tcPr>
          <w:p>
            <w:r>
              <w:rPr>
                <w:rFonts w:ascii="Calibri" w:hAnsi="Calibri"/>
                <w:sz w:val="22"/>
              </w:rPr>
              <w:t>Up 2–4% FY</w:t>
            </w:r>
          </w:p>
        </w:tc>
        <w:tc>
          <w:tcPr>
            <w:tcW w:type="dxa" w:w="1234"/>
          </w:tcPr>
          <w:p>
            <w:r>
              <w:rPr>
                <w:rFonts w:ascii="Calibri" w:hAnsi="Calibri"/>
                <w:sz w:val="22"/>
              </w:rPr>
              <w:t>N/A (FY guidance only)</w:t>
            </w:r>
          </w:p>
        </w:tc>
      </w:tr>
      <w:tr>
        <w:tc>
          <w:tcPr>
            <w:tcW w:type="dxa" w:w="1234"/>
          </w:tcPr>
          <w:p>
            <w:r>
              <w:rPr>
                <w:rFonts w:ascii="Calibri" w:hAnsi="Calibri"/>
                <w:sz w:val="22"/>
              </w:rPr>
              <w:t>Diluted EPS — Operating ($)</w:t>
            </w:r>
          </w:p>
        </w:tc>
        <w:tc>
          <w:tcPr>
            <w:tcW w:type="dxa" w:w="1234"/>
          </w:tcPr>
          <w:p>
            <w:r>
              <w:rPr>
                <w:rFonts w:ascii="Calibri" w:hAnsi="Calibri"/>
                <w:sz w:val="22"/>
              </w:rPr>
              <w:t>$0.87</w:t>
            </w:r>
          </w:p>
        </w:tc>
        <w:tc>
          <w:tcPr>
            <w:tcW w:type="dxa" w:w="1234"/>
          </w:tcPr>
          <w:p>
            <w:r>
              <w:rPr>
                <w:rFonts w:ascii="Calibri" w:hAnsi="Calibri"/>
                <w:sz w:val="22"/>
              </w:rPr>
              <w:t>$0.91</w:t>
            </w:r>
          </w:p>
        </w:tc>
        <w:tc>
          <w:tcPr>
            <w:tcW w:type="dxa" w:w="1234"/>
          </w:tcPr>
          <w:p>
            <w:r>
              <w:rPr>
                <w:rFonts w:ascii="Calibri" w:hAnsi="Calibri"/>
                <w:sz w:val="22"/>
              </w:rPr>
              <w:t>$0.97</w:t>
            </w:r>
          </w:p>
        </w:tc>
        <w:tc>
          <w:tcPr>
            <w:tcW w:type="dxa" w:w="1234"/>
          </w:tcPr>
          <w:p>
            <w:r>
              <w:rPr>
                <w:rFonts w:ascii="Calibri" w:hAnsi="Calibri"/>
                <w:sz w:val="22"/>
              </w:rPr>
              <w:t>+6.6% YoY</w:t>
            </w:r>
          </w:p>
        </w:tc>
        <w:tc>
          <w:tcPr>
            <w:tcW w:type="dxa" w:w="1234"/>
          </w:tcPr>
          <w:p>
            <w:r>
              <w:rPr>
                <w:rFonts w:ascii="Calibri" w:hAnsi="Calibri"/>
                <w:sz w:val="22"/>
              </w:rPr>
              <w:t>Implied ~$4.01 FY</w:t>
            </w:r>
          </w:p>
        </w:tc>
        <w:tc>
          <w:tcPr>
            <w:tcW w:type="dxa" w:w="1234"/>
          </w:tcPr>
          <w:p>
            <w:r>
              <w:rPr>
                <w:rFonts w:ascii="Calibri" w:hAnsi="Calibri"/>
                <w:sz w:val="22"/>
              </w:rPr>
              <w:t>N/A (FY guidance only)</w:t>
            </w:r>
          </w:p>
        </w:tc>
      </w:tr>
      <w:tr>
        <w:tc>
          <w:tcPr>
            <w:tcW w:type="dxa" w:w="1234"/>
          </w:tcPr>
          <w:p>
            <w:r>
              <w:rPr>
                <w:rFonts w:ascii="Calibri" w:hAnsi="Calibri"/>
                <w:sz w:val="22"/>
              </w:rPr>
              <w:t>Chicken Segment OI ($M)</w:t>
            </w:r>
          </w:p>
        </w:tc>
        <w:tc>
          <w:tcPr>
            <w:tcW w:type="dxa" w:w="1234"/>
          </w:tcPr>
          <w:p>
            <w:r>
              <w:rPr>
                <w:rFonts w:ascii="Calibri" w:hAnsi="Calibri"/>
                <w:sz w:val="22"/>
              </w:rPr>
              <w:t>$523M (12.2% margin)</w:t>
            </w:r>
          </w:p>
        </w:tc>
        <w:tc>
          <w:tcPr>
            <w:tcW w:type="dxa" w:w="1234"/>
          </w:tcPr>
          <w:p>
            <w:r>
              <w:rPr>
                <w:rFonts w:ascii="Calibri" w:hAnsi="Calibri"/>
                <w:sz w:val="22"/>
              </w:rPr>
              <w:t>$448M</w:t>
            </w:r>
          </w:p>
        </w:tc>
        <w:tc>
          <w:tcPr>
            <w:tcW w:type="dxa" w:w="1234"/>
          </w:tcPr>
          <w:p>
            <w:r>
              <w:rPr>
                <w:rFonts w:ascii="Calibri" w:hAnsi="Calibri"/>
                <w:sz w:val="22"/>
              </w:rPr>
              <w:t>$489M</w:t>
            </w:r>
          </w:p>
        </w:tc>
        <w:tc>
          <w:tcPr>
            <w:tcW w:type="dxa" w:w="1234"/>
          </w:tcPr>
          <w:p>
            <w:r>
              <w:rPr>
                <w:rFonts w:ascii="Calibri" w:hAnsi="Calibri"/>
                <w:sz w:val="22"/>
              </w:rPr>
              <w:t>+9.2% YoY</w:t>
            </w:r>
          </w:p>
        </w:tc>
        <w:tc>
          <w:tcPr>
            <w:tcW w:type="dxa" w:w="1234"/>
          </w:tcPr>
          <w:p>
            <w:r>
              <w:rPr>
                <w:rFonts w:ascii="Calibri" w:hAnsi="Calibri"/>
                <w:sz w:val="22"/>
              </w:rPr>
              <w:t>$1,900–$2,050M FY</w:t>
            </w:r>
          </w:p>
        </w:tc>
        <w:tc>
          <w:tcPr>
            <w:tcW w:type="dxa" w:w="1234"/>
          </w:tcPr>
          <w:p>
            <w:r>
              <w:rPr>
                <w:rFonts w:ascii="Calibri" w:hAnsi="Calibri"/>
                <w:sz w:val="22"/>
              </w:rPr>
              <w:t>~−4% vs. midpoint run-rate</w:t>
            </w:r>
          </w:p>
        </w:tc>
      </w:tr>
      <w:tr>
        <w:tc>
          <w:tcPr>
            <w:tcW w:type="dxa" w:w="1234"/>
          </w:tcPr>
          <w:p>
            <w:r>
              <w:rPr>
                <w:rFonts w:ascii="Calibri" w:hAnsi="Calibri"/>
                <w:sz w:val="22"/>
              </w:rPr>
              <w:t>Beef Segment OI ($M)</w:t>
            </w:r>
          </w:p>
        </w:tc>
        <w:tc>
          <w:tcPr>
            <w:tcW w:type="dxa" w:w="1234"/>
          </w:tcPr>
          <w:p>
            <w:r>
              <w:rPr>
                <w:rFonts w:ascii="Calibri" w:hAnsi="Calibri"/>
                <w:sz w:val="22"/>
              </w:rPr>
              <w:t>$(202)M (−3.9% margin)</w:t>
            </w:r>
          </w:p>
        </w:tc>
        <w:tc>
          <w:tcPr>
            <w:tcW w:type="dxa" w:w="1234"/>
          </w:tcPr>
          <w:p>
            <w:r>
              <w:rPr>
                <w:rFonts w:ascii="Calibri" w:hAnsi="Calibri"/>
                <w:sz w:val="22"/>
              </w:rPr>
              <w:t>$(116)M</w:t>
            </w:r>
          </w:p>
        </w:tc>
        <w:tc>
          <w:tcPr>
            <w:tcW w:type="dxa" w:w="1234"/>
          </w:tcPr>
          <w:p>
            <w:r>
              <w:rPr>
                <w:rFonts w:ascii="Calibri" w:hAnsi="Calibri"/>
                <w:sz w:val="22"/>
              </w:rPr>
              <w:t>$(149)M</w:t>
            </w:r>
          </w:p>
        </w:tc>
        <w:tc>
          <w:tcPr>
            <w:tcW w:type="dxa" w:w="1234"/>
          </w:tcPr>
          <w:p>
            <w:r>
              <w:rPr>
                <w:rFonts w:ascii="Calibri" w:hAnsi="Calibri"/>
                <w:sz w:val="22"/>
              </w:rPr>
              <w:t>Worse YoY</w:t>
            </w:r>
          </w:p>
        </w:tc>
        <w:tc>
          <w:tcPr>
            <w:tcW w:type="dxa" w:w="1234"/>
          </w:tcPr>
          <w:p>
            <w:r>
              <w:rPr>
                <w:rFonts w:ascii="Calibri" w:hAnsi="Calibri"/>
                <w:sz w:val="22"/>
              </w:rPr>
              <w:t>$(500)M–$(350)M FY</w:t>
            </w:r>
          </w:p>
        </w:tc>
        <w:tc>
          <w:tcPr>
            <w:tcW w:type="dxa" w:w="1234"/>
          </w:tcPr>
          <w:p>
            <w:r>
              <w:rPr>
                <w:rFonts w:ascii="Calibri" w:hAnsi="Calibri"/>
                <w:sz w:val="22"/>
              </w:rPr>
              <w:t>Consensus implies improvement vs. Q2; within guidance range</w:t>
            </w:r>
          </w:p>
        </w:tc>
      </w:tr>
      <w:tr>
        <w:tc>
          <w:tcPr>
            <w:tcW w:type="dxa" w:w="1234"/>
          </w:tcPr>
          <w:p>
            <w:r>
              <w:rPr>
                <w:rFonts w:ascii="Calibri" w:hAnsi="Calibri"/>
                <w:sz w:val="22"/>
              </w:rPr>
              <w:t>Prepared Foods Segment OI ($M)</w:t>
            </w:r>
          </w:p>
        </w:tc>
        <w:tc>
          <w:tcPr>
            <w:tcW w:type="dxa" w:w="1234"/>
          </w:tcPr>
          <w:p>
            <w:r>
              <w:rPr>
                <w:rFonts w:ascii="Calibri" w:hAnsi="Calibri"/>
                <w:sz w:val="22"/>
              </w:rPr>
              <w:t>$352M (14.0% margin)</w:t>
            </w:r>
          </w:p>
        </w:tc>
        <w:tc>
          <w:tcPr>
            <w:tcW w:type="dxa" w:w="1234"/>
          </w:tcPr>
          <w:p>
            <w:r>
              <w:rPr>
                <w:rFonts w:ascii="Calibri" w:hAnsi="Calibri"/>
                <w:sz w:val="22"/>
              </w:rPr>
              <w:t>$334M</w:t>
            </w:r>
          </w:p>
        </w:tc>
        <w:tc>
          <w:tcPr>
            <w:tcW w:type="dxa" w:w="1234"/>
          </w:tcPr>
          <w:p>
            <w:r>
              <w:rPr>
                <w:rFonts w:ascii="Calibri" w:hAnsi="Calibri"/>
                <w:sz w:val="22"/>
              </w:rPr>
              <w:t>$317M</w:t>
            </w:r>
          </w:p>
        </w:tc>
        <w:tc>
          <w:tcPr>
            <w:tcW w:type="dxa" w:w="1234"/>
          </w:tcPr>
          <w:p>
            <w:r>
              <w:rPr>
                <w:rFonts w:ascii="Calibri" w:hAnsi="Calibri"/>
                <w:sz w:val="22"/>
              </w:rPr>
              <w:t>−5.1% YoY</w:t>
            </w:r>
          </w:p>
        </w:tc>
        <w:tc>
          <w:tcPr>
            <w:tcW w:type="dxa" w:w="1234"/>
          </w:tcPr>
          <w:p>
            <w:r>
              <w:rPr>
                <w:rFonts w:ascii="Calibri" w:hAnsi="Calibri"/>
                <w:sz w:val="22"/>
              </w:rPr>
              <w:t>$1,250–$1,350M FY</w:t>
            </w:r>
          </w:p>
        </w:tc>
        <w:tc>
          <w:tcPr>
            <w:tcW w:type="dxa" w:w="1234"/>
          </w:tcPr>
          <w:p>
            <w:r>
              <w:rPr>
                <w:rFonts w:ascii="Calibri" w:hAnsi="Calibri"/>
                <w:sz w:val="22"/>
              </w:rPr>
              <w:t>~−5% vs. midpoint run-rate</w:t>
            </w:r>
          </w:p>
        </w:tc>
      </w:tr>
      <w:tr>
        <w:tc>
          <w:tcPr>
            <w:tcW w:type="dxa" w:w="1234"/>
          </w:tcPr>
          <w:p>
            <w:r>
              <w:rPr>
                <w:rFonts w:ascii="Calibri" w:hAnsi="Calibri"/>
                <w:sz w:val="22"/>
              </w:rPr>
              <w:t>Free Cash Flow ($M)</w:t>
            </w:r>
          </w:p>
        </w:tc>
        <w:tc>
          <w:tcPr>
            <w:tcW w:type="dxa" w:w="1234"/>
          </w:tcPr>
          <w:p>
            <w:r>
              <w:rPr>
                <w:rFonts w:ascii="Calibri" w:hAnsi="Calibri"/>
                <w:sz w:val="22"/>
              </w:rPr>
              <w:t>$(258)M (seasonal)</w:t>
            </w:r>
          </w:p>
        </w:tc>
        <w:tc>
          <w:tcPr>
            <w:tcW w:type="dxa" w:w="1234"/>
          </w:tcPr>
          <w:p>
            <w:r>
              <w:rPr>
                <w:rFonts w:ascii="Calibri" w:hAnsi="Calibri"/>
                <w:sz w:val="22"/>
              </w:rPr>
              <w:t>$547M</w:t>
            </w:r>
          </w:p>
        </w:tc>
        <w:tc>
          <w:tcPr>
            <w:tcW w:type="dxa" w:w="1234"/>
          </w:tcPr>
          <w:p>
            <w:r>
              <w:rPr>
                <w:rFonts w:ascii="Calibri" w:hAnsi="Calibri"/>
                <w:sz w:val="22"/>
              </w:rPr>
              <w:t>$425M</w:t>
            </w:r>
          </w:p>
        </w:tc>
        <w:tc>
          <w:tcPr>
            <w:tcW w:type="dxa" w:w="1234"/>
          </w:tcPr>
          <w:p>
            <w:r>
              <w:rPr>
                <w:rFonts w:ascii="Calibri" w:hAnsi="Calibri"/>
                <w:sz w:val="22"/>
              </w:rPr>
              <w:t>N/M (seasonal)</w:t>
            </w:r>
          </w:p>
        </w:tc>
        <w:tc>
          <w:tcPr>
            <w:tcW w:type="dxa" w:w="1234"/>
          </w:tcPr>
          <w:p>
            <w:r>
              <w:rPr>
                <w:rFonts w:ascii="Calibri" w:hAnsi="Calibri"/>
                <w:sz w:val="22"/>
              </w:rPr>
              <w:t>$1,200–$1,800M FY</w:t>
            </w:r>
          </w:p>
        </w:tc>
        <w:tc>
          <w:tcPr>
            <w:tcW w:type="dxa" w:w="1234"/>
          </w:tcPr>
          <w:p>
            <w:r>
              <w:rPr>
                <w:rFonts w:ascii="Calibri" w:hAnsi="Calibri"/>
                <w:sz w:val="22"/>
              </w:rPr>
              <w:t>On track at midpoint</w:t>
            </w:r>
          </w:p>
        </w:tc>
      </w:tr>
    </w:tbl>
    <w:p>
      <w:r>
        <w:rPr>
          <w:rFonts w:ascii="Calibri" w:hAnsi="Calibri"/>
          <w:i/>
          <w:color w:val="525866"/>
          <w:sz w:val="22"/>
        </w:rPr>
        <w:t>Source: Visible Alpha Consensus and Actuals Data</w:t>
      </w:r>
    </w:p>
    <w:p>
      <w:pPr>
        <w:pStyle w:val="Heading3"/>
      </w:pPr>
      <w:r>
        <w:rPr>
          <w:rFonts w:ascii="Calibri" w:hAnsi="Calibri"/>
          <w:b/>
          <w:color w:val="3B4259"/>
          <w:sz w:val="24"/>
        </w:rPr>
        <w:t>Table 2 — Beat/Miss History: Top 2 KPIs (Last 8 Quarters)</w:t>
      </w:r>
    </w:p>
    <w:p>
      <w:r>
        <w:rPr>
          <w:rFonts w:ascii="Calibri" w:hAnsi="Calibri"/>
          <w:b/>
          <w:color w:val="525866"/>
          <w:sz w:val="22"/>
        </w:rPr>
        <w:t>KPI 1: Diluted EPS —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$0.91</w:t>
            </w:r>
          </w:p>
        </w:tc>
        <w:tc>
          <w:tcPr>
            <w:tcW w:type="dxa" w:w="1728"/>
          </w:tcPr>
          <w:p>
            <w:r>
              <w:rPr>
                <w:rFonts w:ascii="Calibri" w:hAnsi="Calibri"/>
                <w:sz w:val="22"/>
              </w:rPr>
              <w:t>$0.77</w:t>
            </w:r>
          </w:p>
        </w:tc>
        <w:tc>
          <w:tcPr>
            <w:tcW w:type="dxa" w:w="1728"/>
          </w:tcPr>
          <w:p>
            <w:r>
              <w:rPr>
                <w:rFonts w:ascii="Calibri" w:hAnsi="Calibri"/>
                <w:sz w:val="22"/>
              </w:rPr>
              <w:t>+18.2%</w:t>
            </w:r>
          </w:p>
        </w:tc>
        <w:tc>
          <w:tcPr>
            <w:tcW w:type="dxa" w:w="1728"/>
          </w:tcPr>
          <w:p>
            <w:r>
              <w:rPr>
                <w:rFonts w:ascii="Calibri" w:hAnsi="Calibri"/>
                <w:b/>
                <w:color w:val="30A46C"/>
                <w:sz w:val="22"/>
              </w:rPr>
              <w:t>Beat</w:t>
            </w:r>
          </w:p>
        </w:tc>
      </w:tr>
      <w:tr>
        <w:tc>
          <w:tcPr>
            <w:tcW w:type="dxa" w:w="1728"/>
          </w:tcPr>
          <w:p>
            <w:r>
              <w:rPr>
                <w:rFonts w:ascii="Calibri" w:hAnsi="Calibri"/>
                <w:sz w:val="22"/>
              </w:rPr>
              <w:t>Q4 FY2024</w:t>
            </w:r>
          </w:p>
        </w:tc>
        <w:tc>
          <w:tcPr>
            <w:tcW w:type="dxa" w:w="1728"/>
          </w:tcPr>
          <w:p>
            <w:r>
              <w:rPr>
                <w:rFonts w:ascii="Calibri" w:hAnsi="Calibri"/>
                <w:sz w:val="22"/>
              </w:rPr>
              <w:t>$0.92</w:t>
            </w:r>
          </w:p>
        </w:tc>
        <w:tc>
          <w:tcPr>
            <w:tcW w:type="dxa" w:w="1728"/>
          </w:tcPr>
          <w:p>
            <w:r>
              <w:rPr>
                <w:rFonts w:ascii="Calibri" w:hAnsi="Calibri"/>
                <w:sz w:val="22"/>
              </w:rPr>
              <w:t>$0.68</w:t>
            </w:r>
          </w:p>
        </w:tc>
        <w:tc>
          <w:tcPr>
            <w:tcW w:type="dxa" w:w="1728"/>
          </w:tcPr>
          <w:p>
            <w:r>
              <w:rPr>
                <w:rFonts w:ascii="Calibri" w:hAnsi="Calibri"/>
                <w:sz w:val="22"/>
              </w:rPr>
              <w:t>+35.3%</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$1.14</w:t>
            </w:r>
          </w:p>
        </w:tc>
        <w:tc>
          <w:tcPr>
            <w:tcW w:type="dxa" w:w="1728"/>
          </w:tcPr>
          <w:p>
            <w:r>
              <w:rPr>
                <w:rFonts w:ascii="Calibri" w:hAnsi="Calibri"/>
                <w:sz w:val="22"/>
              </w:rPr>
              <w:t>$0.86</w:t>
            </w:r>
          </w:p>
        </w:tc>
        <w:tc>
          <w:tcPr>
            <w:tcW w:type="dxa" w:w="1728"/>
          </w:tcPr>
          <w:p>
            <w:r>
              <w:rPr>
                <w:rFonts w:ascii="Calibri" w:hAnsi="Calibri"/>
                <w:sz w:val="22"/>
              </w:rPr>
              <w:t>+32.6%</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$0.92</w:t>
            </w:r>
          </w:p>
        </w:tc>
        <w:tc>
          <w:tcPr>
            <w:tcW w:type="dxa" w:w="1728"/>
          </w:tcPr>
          <w:p>
            <w:r>
              <w:rPr>
                <w:rFonts w:ascii="Calibri" w:hAnsi="Calibri"/>
                <w:sz w:val="22"/>
              </w:rPr>
              <w:t>$0.80</w:t>
            </w:r>
          </w:p>
        </w:tc>
        <w:tc>
          <w:tcPr>
            <w:tcW w:type="dxa" w:w="1728"/>
          </w:tcPr>
          <w:p>
            <w:r>
              <w:rPr>
                <w:rFonts w:ascii="Calibri" w:hAnsi="Calibri"/>
                <w:sz w:val="22"/>
              </w:rPr>
              <w:t>+14.9%</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$0.91</w:t>
            </w:r>
          </w:p>
        </w:tc>
        <w:tc>
          <w:tcPr>
            <w:tcW w:type="dxa" w:w="1728"/>
          </w:tcPr>
          <w:p>
            <w:r>
              <w:rPr>
                <w:rFonts w:ascii="Calibri" w:hAnsi="Calibri"/>
                <w:sz w:val="22"/>
              </w:rPr>
              <w:t>$0.77</w:t>
            </w:r>
          </w:p>
        </w:tc>
        <w:tc>
          <w:tcPr>
            <w:tcW w:type="dxa" w:w="1728"/>
          </w:tcPr>
          <w:p>
            <w:r>
              <w:rPr>
                <w:rFonts w:ascii="Calibri" w:hAnsi="Calibri"/>
                <w:sz w:val="22"/>
              </w:rPr>
              <w:t>+18.2%</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$1.15</w:t>
            </w:r>
          </w:p>
        </w:tc>
        <w:tc>
          <w:tcPr>
            <w:tcW w:type="dxa" w:w="1728"/>
          </w:tcPr>
          <w:p>
            <w:r>
              <w:rPr>
                <w:rFonts w:ascii="Calibri" w:hAnsi="Calibri"/>
                <w:sz w:val="22"/>
              </w:rPr>
              <w:t>$0.85</w:t>
            </w:r>
          </w:p>
        </w:tc>
        <w:tc>
          <w:tcPr>
            <w:tcW w:type="dxa" w:w="1728"/>
          </w:tcPr>
          <w:p>
            <w:r>
              <w:rPr>
                <w:rFonts w:ascii="Calibri" w:hAnsi="Calibri"/>
                <w:sz w:val="22"/>
              </w:rPr>
              <w:t>+34.1%</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$0.97</w:t>
            </w:r>
          </w:p>
        </w:tc>
        <w:tc>
          <w:tcPr>
            <w:tcW w:type="dxa" w:w="1728"/>
          </w:tcPr>
          <w:p>
            <w:r>
              <w:rPr>
                <w:rFonts w:ascii="Calibri" w:hAnsi="Calibri"/>
                <w:sz w:val="22"/>
              </w:rPr>
              <w:t>$0.94</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$0.87</w:t>
            </w:r>
          </w:p>
        </w:tc>
        <w:tc>
          <w:tcPr>
            <w:tcW w:type="dxa" w:w="1728"/>
          </w:tcPr>
          <w:p>
            <w:r>
              <w:rPr>
                <w:rFonts w:ascii="Calibri" w:hAnsi="Calibri"/>
                <w:sz w:val="22"/>
              </w:rPr>
              <w:t>$0.80</w:t>
            </w:r>
          </w:p>
        </w:tc>
        <w:tc>
          <w:tcPr>
            <w:tcW w:type="dxa" w:w="1728"/>
          </w:tcPr>
          <w:p>
            <w:r>
              <w:rPr>
                <w:rFonts w:ascii="Calibri" w:hAnsi="Calibri"/>
                <w:sz w:val="22"/>
              </w:rPr>
              <w:t>+8.8%</w:t>
            </w:r>
          </w:p>
        </w:tc>
        <w:tc>
          <w:tcPr>
            <w:tcW w:type="dxa" w:w="1728"/>
          </w:tcPr>
          <w:p>
            <w:r>
              <w:rPr>
                <w:rFonts w:ascii="Calibri" w:hAnsi="Calibri"/>
                <w:b/>
                <w:color w:val="30A46C"/>
                <w:sz w:val="22"/>
              </w:rPr>
              <w:t>Beat</w:t>
            </w:r>
          </w:p>
        </w:tc>
      </w:tr>
    </w:tbl>
    <w:p>
      <w:r>
        <w:rPr>
          <w:rFonts w:ascii="Calibri" w:hAnsi="Calibri"/>
          <w:b/>
          <w:color w:val="525866"/>
          <w:sz w:val="22"/>
        </w:rPr>
        <w:t>KPI 2: Chicken Segment Operating Income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$448M</w:t>
            </w:r>
          </w:p>
        </w:tc>
        <w:tc>
          <w:tcPr>
            <w:tcW w:type="dxa" w:w="1728"/>
          </w:tcPr>
          <w:p>
            <w:r>
              <w:rPr>
                <w:rFonts w:ascii="Calibri" w:hAnsi="Calibri"/>
                <w:sz w:val="22"/>
              </w:rPr>
              <w:t>$298M</w:t>
            </w:r>
          </w:p>
        </w:tc>
        <w:tc>
          <w:tcPr>
            <w:tcW w:type="dxa" w:w="1728"/>
          </w:tcPr>
          <w:p>
            <w:r>
              <w:rPr>
                <w:rFonts w:ascii="Calibri" w:hAnsi="Calibri"/>
                <w:sz w:val="22"/>
              </w:rPr>
              <w:t>+50.3%</w:t>
            </w:r>
          </w:p>
        </w:tc>
        <w:tc>
          <w:tcPr>
            <w:tcW w:type="dxa" w:w="1728"/>
          </w:tcPr>
          <w:p>
            <w:r>
              <w:rPr>
                <w:rFonts w:ascii="Calibri" w:hAnsi="Calibri"/>
                <w:b/>
                <w:color w:val="30A46C"/>
                <w:sz w:val="22"/>
              </w:rPr>
              <w:t>Beat</w:t>
            </w:r>
          </w:p>
        </w:tc>
      </w:tr>
      <w:tr>
        <w:tc>
          <w:tcPr>
            <w:tcW w:type="dxa" w:w="1728"/>
          </w:tcPr>
          <w:p>
            <w:r>
              <w:rPr>
                <w:rFonts w:ascii="Calibri" w:hAnsi="Calibri"/>
                <w:sz w:val="22"/>
              </w:rPr>
              <w:t>Q4 FY2024</w:t>
            </w:r>
          </w:p>
        </w:tc>
        <w:tc>
          <w:tcPr>
            <w:tcW w:type="dxa" w:w="1728"/>
          </w:tcPr>
          <w:p>
            <w:r>
              <w:rPr>
                <w:rFonts w:ascii="Calibri" w:hAnsi="Calibri"/>
                <w:sz w:val="22"/>
              </w:rPr>
              <w:t>$444M</w:t>
            </w:r>
          </w:p>
        </w:tc>
        <w:tc>
          <w:tcPr>
            <w:tcW w:type="dxa" w:w="1728"/>
          </w:tcPr>
          <w:p>
            <w:r>
              <w:rPr>
                <w:rFonts w:ascii="Calibri" w:hAnsi="Calibri"/>
                <w:sz w:val="22"/>
              </w:rPr>
              <w:t>$272M</w:t>
            </w:r>
          </w:p>
        </w:tc>
        <w:tc>
          <w:tcPr>
            <w:tcW w:type="dxa" w:w="1728"/>
          </w:tcPr>
          <w:p>
            <w:r>
              <w:rPr>
                <w:rFonts w:ascii="Calibri" w:hAnsi="Calibri"/>
                <w:sz w:val="22"/>
              </w:rPr>
              <w:t>+63.2%</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$471M</w:t>
            </w:r>
          </w:p>
        </w:tc>
        <w:tc>
          <w:tcPr>
            <w:tcW w:type="dxa" w:w="1728"/>
          </w:tcPr>
          <w:p>
            <w:r>
              <w:rPr>
                <w:rFonts w:ascii="Calibri" w:hAnsi="Calibri"/>
                <w:sz w:val="22"/>
              </w:rPr>
              <w:t>$288M</w:t>
            </w:r>
          </w:p>
        </w:tc>
        <w:tc>
          <w:tcPr>
            <w:tcW w:type="dxa" w:w="1728"/>
          </w:tcPr>
          <w:p>
            <w:r>
              <w:rPr>
                <w:rFonts w:ascii="Calibri" w:hAnsi="Calibri"/>
                <w:sz w:val="22"/>
              </w:rPr>
              <w:t>+63.5%</w:t>
            </w:r>
          </w:p>
        </w:tc>
        <w:tc>
          <w:tcPr>
            <w:tcW w:type="dxa" w:w="1728"/>
          </w:tcPr>
          <w:p>
            <w:r>
              <w:rPr>
                <w:rFonts w:ascii="Calibri" w:hAnsi="Calibri"/>
                <w:b/>
                <w:color w:val="30A46C"/>
                <w:sz w:val="22"/>
              </w:rPr>
              <w:t>Beat</w:t>
            </w:r>
          </w:p>
        </w:tc>
      </w:tr>
      <w:tr>
        <w:tc>
          <w:tcPr>
            <w:tcW w:type="dxa" w:w="1728"/>
          </w:tcPr>
          <w:p>
            <w:r>
              <w:rPr>
                <w:rFonts w:ascii="Calibri" w:hAnsi="Calibri"/>
                <w:sz w:val="22"/>
              </w:rPr>
              <w:t>Q2 FY2025</w:t>
            </w:r>
          </w:p>
        </w:tc>
        <w:tc>
          <w:tcPr>
            <w:tcW w:type="dxa" w:w="1728"/>
          </w:tcPr>
          <w:p>
            <w:r>
              <w:rPr>
                <w:rFonts w:ascii="Calibri" w:hAnsi="Calibri"/>
                <w:sz w:val="22"/>
              </w:rPr>
              <w:t>$411M</w:t>
            </w:r>
          </w:p>
        </w:tc>
        <w:tc>
          <w:tcPr>
            <w:tcW w:type="dxa" w:w="1728"/>
          </w:tcPr>
          <w:p>
            <w:r>
              <w:rPr>
                <w:rFonts w:ascii="Calibri" w:hAnsi="Calibri"/>
                <w:sz w:val="22"/>
              </w:rPr>
              <w:t>$284M</w:t>
            </w:r>
          </w:p>
        </w:tc>
        <w:tc>
          <w:tcPr>
            <w:tcW w:type="dxa" w:w="1728"/>
          </w:tcPr>
          <w:p>
            <w:r>
              <w:rPr>
                <w:rFonts w:ascii="Calibri" w:hAnsi="Calibri"/>
                <w:sz w:val="22"/>
              </w:rPr>
              <w:t>+44.7%</w:t>
            </w:r>
          </w:p>
        </w:tc>
        <w:tc>
          <w:tcPr>
            <w:tcW w:type="dxa" w:w="1728"/>
          </w:tcPr>
          <w:p>
            <w:r>
              <w:rPr>
                <w:rFonts w:ascii="Calibri" w:hAnsi="Calibri"/>
                <w:b/>
                <w:color w:val="30A46C"/>
                <w:sz w:val="22"/>
              </w:rPr>
              <w:t>Beat</w:t>
            </w:r>
          </w:p>
        </w:tc>
      </w:tr>
      <w:tr>
        <w:tc>
          <w:tcPr>
            <w:tcW w:type="dxa" w:w="1728"/>
          </w:tcPr>
          <w:p>
            <w:r>
              <w:rPr>
                <w:rFonts w:ascii="Calibri" w:hAnsi="Calibri"/>
                <w:sz w:val="22"/>
              </w:rPr>
              <w:t>Q3 FY2025</w:t>
            </w:r>
          </w:p>
        </w:tc>
        <w:tc>
          <w:tcPr>
            <w:tcW w:type="dxa" w:w="1728"/>
          </w:tcPr>
          <w:p>
            <w:r>
              <w:rPr>
                <w:rFonts w:ascii="Calibri" w:hAnsi="Calibri"/>
                <w:sz w:val="22"/>
              </w:rPr>
              <w:t>$448M</w:t>
            </w:r>
          </w:p>
        </w:tc>
        <w:tc>
          <w:tcPr>
            <w:tcW w:type="dxa" w:w="1728"/>
          </w:tcPr>
          <w:p>
            <w:r>
              <w:rPr>
                <w:rFonts w:ascii="Calibri" w:hAnsi="Calibri"/>
                <w:sz w:val="22"/>
              </w:rPr>
              <w:t>$298M</w:t>
            </w:r>
          </w:p>
        </w:tc>
        <w:tc>
          <w:tcPr>
            <w:tcW w:type="dxa" w:w="1728"/>
          </w:tcPr>
          <w:p>
            <w:r>
              <w:rPr>
                <w:rFonts w:ascii="Calibri" w:hAnsi="Calibri"/>
                <w:sz w:val="22"/>
              </w:rPr>
              <w:t>+50.3%</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$562M</w:t>
            </w:r>
          </w:p>
        </w:tc>
        <w:tc>
          <w:tcPr>
            <w:tcW w:type="dxa" w:w="1728"/>
          </w:tcPr>
          <w:p>
            <w:r>
              <w:rPr>
                <w:rFonts w:ascii="Calibri" w:hAnsi="Calibri"/>
                <w:sz w:val="22"/>
              </w:rPr>
              <w:t>$343M</w:t>
            </w:r>
          </w:p>
        </w:tc>
        <w:tc>
          <w:tcPr>
            <w:tcW w:type="dxa" w:w="1728"/>
          </w:tcPr>
          <w:p>
            <w:r>
              <w:rPr>
                <w:rFonts w:ascii="Calibri" w:hAnsi="Calibri"/>
                <w:sz w:val="22"/>
              </w:rPr>
              <w:t>+63.8%</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$459M</w:t>
            </w:r>
          </w:p>
        </w:tc>
        <w:tc>
          <w:tcPr>
            <w:tcW w:type="dxa" w:w="1728"/>
          </w:tcPr>
          <w:p>
            <w:r>
              <w:rPr>
                <w:rFonts w:ascii="Calibri" w:hAnsi="Calibri"/>
                <w:sz w:val="22"/>
              </w:rPr>
              <w:t>$310M</w:t>
            </w:r>
          </w:p>
        </w:tc>
        <w:tc>
          <w:tcPr>
            <w:tcW w:type="dxa" w:w="1728"/>
          </w:tcPr>
          <w:p>
            <w:r>
              <w:rPr>
                <w:rFonts w:ascii="Calibri" w:hAnsi="Calibri"/>
                <w:sz w:val="22"/>
              </w:rPr>
              <w:t>+48.1%</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$523M</w:t>
            </w:r>
          </w:p>
        </w:tc>
        <w:tc>
          <w:tcPr>
            <w:tcW w:type="dxa" w:w="1728"/>
          </w:tcPr>
          <w:p>
            <w:r>
              <w:rPr>
                <w:rFonts w:ascii="Calibri" w:hAnsi="Calibri"/>
                <w:sz w:val="22"/>
              </w:rPr>
              <w:t>$394M</w:t>
            </w:r>
          </w:p>
        </w:tc>
        <w:tc>
          <w:tcPr>
            <w:tcW w:type="dxa" w:w="1728"/>
          </w:tcPr>
          <w:p>
            <w:r>
              <w:rPr>
                <w:rFonts w:ascii="Calibri" w:hAnsi="Calibri"/>
                <w:sz w:val="22"/>
              </w:rPr>
              <w:t>+32.7%</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TSN has beaten on both Diluted Operating EPS and Chicken Segment OI in each of the last 8 consecutive quarters, with Chicken beats averaging ~52% above consensus — a persistent and significant pattern of under-estimation by the Street. The bar for Q3 FY2026 Chicken OI at $489M consensus appears similarly conservative relative to management’s guidance trajectory.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materially at the Q2 print (May 4) — Chicken AOI up $200M at the midpoint, total AOI up $100M at the midpoint, and FCF raised — with no subsequent formal revisions. The July 27 USDA cattle import resumption from Mexico is a potential positive catalyst for Beef guidance that has not yet been incorporated into official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May 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Company AOI (FY2026)</w:t>
            </w:r>
          </w:p>
        </w:tc>
        <w:tc>
          <w:tcPr>
            <w:tcW w:type="dxa" w:w="1728"/>
          </w:tcPr>
          <w:p>
            <w:r>
              <w:rPr>
                <w:rFonts w:ascii="Calibri" w:hAnsi="Calibri"/>
                <w:sz w:val="22"/>
              </w:rPr>
              <w:t>$2.2B – $2.4B (raised $100M at midpoint from prior $2.1B–$2.3B)</w:t>
            </w:r>
          </w:p>
        </w:tc>
        <w:tc>
          <w:tcPr>
            <w:tcW w:type="dxa" w:w="1728"/>
          </w:tcPr>
          <w:p>
            <w:r>
              <w:rPr>
                <w:rFonts w:ascii="Calibri" w:hAnsi="Calibri"/>
                <w:sz w:val="22"/>
              </w:rPr>
              <w:t>—</w:t>
            </w:r>
          </w:p>
        </w:tc>
        <w:tc>
          <w:tcPr>
            <w:tcW w:type="dxa" w:w="1728"/>
          </w:tcPr>
          <w:p>
            <w:r>
              <w:rPr>
                <w:rFonts w:ascii="Calibri" w:hAnsi="Calibri"/>
                <w:sz w:val="22"/>
              </w:rPr>
              <w:t>$2.28B (consensus)</w:t>
            </w:r>
          </w:p>
        </w:tc>
        <w:tc>
          <w:tcPr>
            <w:tcW w:type="dxa" w:w="1728"/>
          </w:tcPr>
          <w:p>
            <w:r>
              <w:rPr>
                <w:rFonts w:ascii="Calibri" w:hAnsi="Calibri"/>
                <w:sz w:val="22"/>
              </w:rPr>
              <w:t>↑ Raised at Q2 earnings; management confident in upper end</w:t>
            </w:r>
          </w:p>
        </w:tc>
      </w:tr>
      <w:tr>
        <w:tc>
          <w:tcPr>
            <w:tcW w:type="dxa" w:w="1728"/>
          </w:tcPr>
          <w:p>
            <w:r>
              <w:rPr>
                <w:rFonts w:ascii="Calibri" w:hAnsi="Calibri"/>
                <w:sz w:val="22"/>
              </w:rPr>
              <w:t>Chicken Segment OI (FY2026)</w:t>
            </w:r>
          </w:p>
        </w:tc>
        <w:tc>
          <w:tcPr>
            <w:tcW w:type="dxa" w:w="1728"/>
          </w:tcPr>
          <w:p>
            <w:r>
              <w:rPr>
                <w:rFonts w:ascii="Calibri" w:hAnsi="Calibri"/>
                <w:sz w:val="22"/>
              </w:rPr>
              <w:t>$1.9B – $2.05B (raised $200M at midpoint from prior $1.7B–$1.85B)</w:t>
            </w:r>
          </w:p>
        </w:tc>
        <w:tc>
          <w:tcPr>
            <w:tcW w:type="dxa" w:w="1728"/>
          </w:tcPr>
          <w:p>
            <w:r>
              <w:rPr>
                <w:rFonts w:ascii="Calibri" w:hAnsi="Calibri"/>
                <w:sz w:val="22"/>
              </w:rPr>
              <w:t>—</w:t>
            </w:r>
          </w:p>
        </w:tc>
        <w:tc>
          <w:tcPr>
            <w:tcW w:type="dxa" w:w="1728"/>
          </w:tcPr>
          <w:p>
            <w:r>
              <w:rPr>
                <w:rFonts w:ascii="Calibri" w:hAnsi="Calibri"/>
                <w:sz w:val="22"/>
              </w:rPr>
              <w:t>$2.01B (consensus)</w:t>
            </w:r>
          </w:p>
        </w:tc>
        <w:tc>
          <w:tcPr>
            <w:tcW w:type="dxa" w:w="1728"/>
          </w:tcPr>
          <w:p>
            <w:r>
              <w:rPr>
                <w:rFonts w:ascii="Calibri" w:hAnsi="Calibri"/>
                <w:sz w:val="22"/>
              </w:rPr>
              <w:t>↑ Raised at Q2 earnings; mgmt. “trending on the upper end”; back half expected as good as or better than H1</w:t>
            </w:r>
          </w:p>
        </w:tc>
      </w:tr>
      <w:tr>
        <w:tc>
          <w:tcPr>
            <w:tcW w:type="dxa" w:w="1728"/>
          </w:tcPr>
          <w:p>
            <w:r>
              <w:rPr>
                <w:rFonts w:ascii="Calibri" w:hAnsi="Calibri"/>
                <w:sz w:val="22"/>
              </w:rPr>
              <w:t>Beef Segment OI (FY2026)</w:t>
            </w:r>
          </w:p>
        </w:tc>
        <w:tc>
          <w:tcPr>
            <w:tcW w:type="dxa" w:w="1728"/>
          </w:tcPr>
          <w:p>
            <w:r>
              <w:rPr>
                <w:rFonts w:ascii="Calibri" w:hAnsi="Calibri"/>
                <w:sz w:val="22"/>
              </w:rPr>
              <w:t>$(500)M – $(350)M loss</w:t>
            </w:r>
          </w:p>
        </w:tc>
        <w:tc>
          <w:tcPr>
            <w:tcW w:type="dxa" w:w="1728"/>
          </w:tcPr>
          <w:p>
            <w:r>
              <w:rPr>
                <w:rFonts w:ascii="Calibri" w:hAnsi="Calibri"/>
                <w:sz w:val="22"/>
              </w:rPr>
              <w:t>—</w:t>
            </w:r>
          </w:p>
        </w:tc>
        <w:tc>
          <w:tcPr>
            <w:tcW w:type="dxa" w:w="1728"/>
          </w:tcPr>
          <w:p>
            <w:r>
              <w:rPr>
                <w:rFonts w:ascii="Calibri" w:hAnsi="Calibri"/>
                <w:sz w:val="22"/>
              </w:rPr>
              <w:t>$(573)M (consensus)</w:t>
            </w:r>
          </w:p>
        </w:tc>
        <w:tc>
          <w:tcPr>
            <w:tcW w:type="dxa" w:w="1728"/>
          </w:tcPr>
          <w:p>
            <w:r>
              <w:rPr>
                <w:rFonts w:ascii="Calibri" w:hAnsi="Calibri"/>
                <w:sz w:val="22"/>
              </w:rPr>
              <w:t>Consensus slightly worse than guidance midpoint; USDA Mexico cattle import resumption (July 27) is a potential upside catalyst not yet in guidance</w:t>
            </w:r>
          </w:p>
        </w:tc>
      </w:tr>
      <w:tr>
        <w:tc>
          <w:tcPr>
            <w:tcW w:type="dxa" w:w="1728"/>
          </w:tcPr>
          <w:p>
            <w:r>
              <w:rPr>
                <w:rFonts w:ascii="Calibri" w:hAnsi="Calibri"/>
                <w:sz w:val="22"/>
              </w:rPr>
              <w:t>Prepared Foods Segment OI (FY2026)</w:t>
            </w:r>
          </w:p>
        </w:tc>
        <w:tc>
          <w:tcPr>
            <w:tcW w:type="dxa" w:w="1728"/>
          </w:tcPr>
          <w:p>
            <w:r>
              <w:rPr>
                <w:rFonts w:ascii="Calibri" w:hAnsi="Calibri"/>
                <w:sz w:val="22"/>
              </w:rPr>
              <w:t>$1.25B – $1.35B (unchanged)</w:t>
            </w:r>
          </w:p>
        </w:tc>
        <w:tc>
          <w:tcPr>
            <w:tcW w:type="dxa" w:w="1728"/>
          </w:tcPr>
          <w:p>
            <w:r>
              <w:rPr>
                <w:rFonts w:ascii="Calibri" w:hAnsi="Calibri"/>
                <w:sz w:val="22"/>
              </w:rPr>
              <w:t>—</w:t>
            </w:r>
          </w:p>
        </w:tc>
        <w:tc>
          <w:tcPr>
            <w:tcW w:type="dxa" w:w="1728"/>
          </w:tcPr>
          <w:p>
            <w:r>
              <w:rPr>
                <w:rFonts w:ascii="Calibri" w:hAnsi="Calibri"/>
                <w:sz w:val="22"/>
              </w:rPr>
              <w:t>$1.31B (consensus)</w:t>
            </w:r>
          </w:p>
        </w:tc>
        <w:tc>
          <w:tcPr>
            <w:tcW w:type="dxa" w:w="1728"/>
          </w:tcPr>
          <w:p>
            <w:r>
              <w:rPr>
                <w:rFonts w:ascii="Calibri" w:hAnsi="Calibri"/>
                <w:sz w:val="22"/>
              </w:rPr>
              <w:t>Consensus at midpoint; management sees “significant upside” long-term</w:t>
            </w:r>
          </w:p>
        </w:tc>
      </w:tr>
      <w:tr>
        <w:tc>
          <w:tcPr>
            <w:tcW w:type="dxa" w:w="1728"/>
          </w:tcPr>
          <w:p>
            <w:r>
              <w:rPr>
                <w:rFonts w:ascii="Calibri" w:hAnsi="Calibri"/>
                <w:sz w:val="22"/>
              </w:rPr>
              <w:t>Pork Segment OI (FY2026)</w:t>
            </w:r>
          </w:p>
        </w:tc>
        <w:tc>
          <w:tcPr>
            <w:tcW w:type="dxa" w:w="1728"/>
          </w:tcPr>
          <w:p>
            <w:r>
              <w:rPr>
                <w:rFonts w:ascii="Calibri" w:hAnsi="Calibri"/>
                <w:sz w:val="22"/>
              </w:rPr>
              <w:t>$250M – $300M (unchanged)</w:t>
            </w:r>
          </w:p>
        </w:tc>
        <w:tc>
          <w:tcPr>
            <w:tcW w:type="dxa" w:w="1728"/>
          </w:tcPr>
          <w:p>
            <w:r>
              <w:rPr>
                <w:rFonts w:ascii="Calibri" w:hAnsi="Calibri"/>
                <w:sz w:val="22"/>
              </w:rPr>
              <w:t>—</w:t>
            </w:r>
          </w:p>
        </w:tc>
        <w:tc>
          <w:tcPr>
            <w:tcW w:type="dxa" w:w="1728"/>
          </w:tcPr>
          <w:p>
            <w:r>
              <w:rPr>
                <w:rFonts w:ascii="Calibri" w:hAnsi="Calibri"/>
                <w:sz w:val="22"/>
              </w:rPr>
              <w:t>~$275M (implied)</w:t>
            </w:r>
          </w:p>
        </w:tc>
        <w:tc>
          <w:tcPr>
            <w:tcW w:type="dxa" w:w="1728"/>
          </w:tcPr>
          <w:p>
            <w:r>
              <w:rPr>
                <w:rFonts w:ascii="Calibri" w:hAnsi="Calibri"/>
                <w:sz w:val="22"/>
              </w:rPr>
              <w:t>Q2 discrete items (overstaffing, relocation, weather) not expected to recur in H2</w:t>
            </w:r>
          </w:p>
        </w:tc>
      </w:tr>
      <w:tr>
        <w:tc>
          <w:tcPr>
            <w:tcW w:type="dxa" w:w="1728"/>
          </w:tcPr>
          <w:p>
            <w:r>
              <w:rPr>
                <w:rFonts w:ascii="Calibri" w:hAnsi="Calibri"/>
                <w:sz w:val="22"/>
              </w:rPr>
              <w:t>Free Cash Flow (FY2026)</w:t>
            </w:r>
          </w:p>
        </w:tc>
        <w:tc>
          <w:tcPr>
            <w:tcW w:type="dxa" w:w="1728"/>
          </w:tcPr>
          <w:p>
            <w:r>
              <w:rPr>
                <w:rFonts w:ascii="Calibri" w:hAnsi="Calibri"/>
                <w:sz w:val="22"/>
              </w:rPr>
              <w:t>$1.2B – $1.8B (raised from prior $1.0B–$1.5B)</w:t>
            </w:r>
          </w:p>
        </w:tc>
        <w:tc>
          <w:tcPr>
            <w:tcW w:type="dxa" w:w="1728"/>
          </w:tcPr>
          <w:p>
            <w:r>
              <w:rPr>
                <w:rFonts w:ascii="Calibri" w:hAnsi="Calibri"/>
                <w:sz w:val="22"/>
              </w:rPr>
              <w:t>—</w:t>
            </w:r>
          </w:p>
        </w:tc>
        <w:tc>
          <w:tcPr>
            <w:tcW w:type="dxa" w:w="1728"/>
          </w:tcPr>
          <w:p>
            <w:r>
              <w:rPr>
                <w:rFonts w:ascii="Calibri" w:hAnsi="Calibri"/>
                <w:sz w:val="22"/>
              </w:rPr>
              <w:t>$1.25B (consensus)</w:t>
            </w:r>
          </w:p>
        </w:tc>
        <w:tc>
          <w:tcPr>
            <w:tcW w:type="dxa" w:w="1728"/>
          </w:tcPr>
          <w:p>
            <w:r>
              <w:rPr>
                <w:rFonts w:ascii="Calibri" w:hAnsi="Calibri"/>
                <w:sz w:val="22"/>
              </w:rPr>
              <w:t>↑ Raised at Q2 earnings; consensus at low end of range</w:t>
            </w:r>
          </w:p>
        </w:tc>
      </w:tr>
      <w:tr>
        <w:tc>
          <w:tcPr>
            <w:tcW w:type="dxa" w:w="1728"/>
          </w:tcPr>
          <w:p>
            <w:r>
              <w:rPr>
                <w:rFonts w:ascii="Calibri" w:hAnsi="Calibri"/>
                <w:sz w:val="22"/>
              </w:rPr>
              <w:t>Revenue Growth (FY2026)</w:t>
            </w:r>
          </w:p>
        </w:tc>
        <w:tc>
          <w:tcPr>
            <w:tcW w:type="dxa" w:w="1728"/>
          </w:tcPr>
          <w:p>
            <w:r>
              <w:rPr>
                <w:rFonts w:ascii="Calibri" w:hAnsi="Calibri"/>
                <w:sz w:val="22"/>
              </w:rPr>
              <w:t>Up 2–4% YoY (unchanged)</w:t>
            </w:r>
          </w:p>
        </w:tc>
        <w:tc>
          <w:tcPr>
            <w:tcW w:type="dxa" w:w="1728"/>
          </w:tcPr>
          <w:p>
            <w:r>
              <w:rPr>
                <w:rFonts w:ascii="Calibri" w:hAnsi="Calibri"/>
                <w:sz w:val="22"/>
              </w:rPr>
              <w:t>—</w:t>
            </w:r>
          </w:p>
        </w:tc>
        <w:tc>
          <w:tcPr>
            <w:tcW w:type="dxa" w:w="1728"/>
          </w:tcPr>
          <w:p>
            <w:r>
              <w:rPr>
                <w:rFonts w:ascii="Calibri" w:hAnsi="Calibri"/>
                <w:sz w:val="22"/>
              </w:rPr>
              <w:t>$56.7B (+2.3% YoY)</w:t>
            </w:r>
          </w:p>
        </w:tc>
        <w:tc>
          <w:tcPr>
            <w:tcW w:type="dxa" w:w="1728"/>
          </w:tcPr>
          <w:p>
            <w:r>
              <w:rPr>
                <w:rFonts w:ascii="Calibri" w:hAnsi="Calibri"/>
                <w:sz w:val="22"/>
              </w:rPr>
              <w:t>Consensus at low end of guidance range</w:t>
            </w:r>
          </w:p>
        </w:tc>
      </w:tr>
      <w:tr>
        <w:tc>
          <w:tcPr>
            <w:tcW w:type="dxa" w:w="1728"/>
          </w:tcPr>
          <w:p>
            <w:r>
              <w:rPr>
                <w:rFonts w:ascii="Calibri" w:hAnsi="Calibri"/>
                <w:sz w:val="22"/>
              </w:rPr>
              <w:t>CapEx (FY2026)</w:t>
            </w:r>
          </w:p>
        </w:tc>
        <w:tc>
          <w:tcPr>
            <w:tcW w:type="dxa" w:w="1728"/>
          </w:tcPr>
          <w:p>
            <w:r>
              <w:rPr>
                <w:rFonts w:ascii="Calibri" w:hAnsi="Calibri"/>
                <w:sz w:val="22"/>
              </w:rPr>
              <w:t>$700M – $1,000M (unchanged)</w:t>
            </w:r>
          </w:p>
        </w:tc>
        <w:tc>
          <w:tcPr>
            <w:tcW w:type="dxa" w:w="1728"/>
          </w:tcPr>
          <w:p>
            <w:r>
              <w:rPr>
                <w:rFonts w:ascii="Calibri" w:hAnsi="Calibri"/>
                <w:sz w:val="22"/>
              </w:rPr>
              <w:t>—</w:t>
            </w:r>
          </w:p>
        </w:tc>
        <w:tc>
          <w:tcPr>
            <w:tcW w:type="dxa" w:w="1728"/>
          </w:tcPr>
          <w:p>
            <w:r>
              <w:rPr>
                <w:rFonts w:ascii="Calibri" w:hAnsi="Calibri"/>
                <w:sz w:val="22"/>
              </w:rPr>
              <w:t>~$850M (implied midpoint)</w:t>
            </w:r>
          </w:p>
        </w:tc>
        <w:tc>
          <w:tcPr>
            <w:tcW w:type="dxa" w:w="1728"/>
          </w:tcPr>
          <w:p>
            <w:r>
              <w:rPr>
                <w:rFonts w:ascii="Calibri" w:hAnsi="Calibri"/>
                <w:sz w:val="22"/>
              </w:rPr>
              <w:t>Disciplined capital allocation; no change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Q3 FY2026 EPS estimates have drifted slightly lower since the Q2 print (from $1.05 to $0.97), while FY2026 EPS has been revised up modestly, reflecting the Chicken guidance raise partially offset by Beef headwinds. The gap between Chicken consensus and guidance midpoint suggests the Street remains skeptical of management’s upper-end confidence.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(May 11, 2026)</w:t>
            </w:r>
          </w:p>
        </w:tc>
        <w:tc>
          <w:tcPr>
            <w:tcW w:type="dxa" w:w="1080"/>
            <w:shd w:val="clear" w:color="auto" w:fill="3B4259"/>
          </w:tcPr>
          <w:p>
            <w:r>
              <w:rPr>
                <w:rFonts w:ascii="Calibri" w:hAnsi="Calibri"/>
                <w:b/>
                <w:color w:val="FFFFFF"/>
                <w:sz w:val="22"/>
              </w:rPr>
              <w:t>Current Consensus (Aug 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 May 4)</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Diluted EPS — Operating (Q3 FY2026)</w:t>
            </w:r>
          </w:p>
        </w:tc>
        <w:tc>
          <w:tcPr>
            <w:tcW w:type="dxa" w:w="1080"/>
          </w:tcPr>
          <w:p>
            <w:r>
              <w:rPr>
                <w:rFonts w:ascii="Calibri" w:hAnsi="Calibri"/>
                <w:sz w:val="22"/>
              </w:rPr>
              <w:t>$1.05</w:t>
            </w:r>
          </w:p>
        </w:tc>
        <w:tc>
          <w:tcPr>
            <w:tcW w:type="dxa" w:w="1080"/>
          </w:tcPr>
          <w:p>
            <w:r>
              <w:rPr>
                <w:rFonts w:ascii="Calibri" w:hAnsi="Calibri"/>
                <w:sz w:val="22"/>
              </w:rPr>
              <w:t>$0.97</w:t>
            </w:r>
          </w:p>
        </w:tc>
        <w:tc>
          <w:tcPr>
            <w:tcW w:type="dxa" w:w="1080"/>
          </w:tcPr>
          <w:p>
            <w:r>
              <w:rPr>
                <w:rFonts w:ascii="Calibri" w:hAnsi="Calibri"/>
                <w:b/>
                <w:color w:val="E5484D"/>
                <w:sz w:val="22"/>
              </w:rPr>
              <w:t>−7.6%</w:t>
            </w:r>
          </w:p>
        </w:tc>
        <w:tc>
          <w:tcPr>
            <w:tcW w:type="dxa" w:w="1080"/>
          </w:tcPr>
          <w:p>
            <w:r>
              <w:rPr>
                <w:rFonts w:ascii="Calibri" w:hAnsi="Calibri"/>
                <w:sz w:val="22"/>
              </w:rPr>
              <w:t>No Q3-specific guidance</w:t>
            </w:r>
          </w:p>
        </w:tc>
        <w:tc>
          <w:tcPr>
            <w:tcW w:type="dxa" w:w="1080"/>
          </w:tcPr>
          <w:p>
            <w:r>
              <w:rPr>
                <w:rFonts w:ascii="Calibri" w:hAnsi="Calibri"/>
                <w:sz w:val="22"/>
              </w:rPr>
              <w:t>No Q3-specific guidance</w:t>
            </w:r>
          </w:p>
        </w:tc>
        <w:tc>
          <w:tcPr>
            <w:tcW w:type="dxa" w:w="1080"/>
          </w:tcPr>
          <w:p>
            <w:r>
              <w:rPr>
                <w:rFonts w:ascii="Calibri" w:hAnsi="Calibri"/>
                <w:sz w:val="22"/>
              </w:rPr>
              <w:t>—</w:t>
            </w:r>
          </w:p>
        </w:tc>
        <w:tc>
          <w:tcPr>
            <w:tcW w:type="dxa" w:w="1080"/>
          </w:tcPr>
          <w:p>
            <w:r>
              <w:rPr>
                <w:rFonts w:ascii="Calibri" w:hAnsi="Calibri"/>
                <w:sz w:val="22"/>
              </w:rPr>
              <w:t>—</w:t>
            </w:r>
          </w:p>
        </w:tc>
      </w:tr>
      <w:tr>
        <w:tc>
          <w:tcPr>
            <w:tcW w:type="dxa" w:w="1080"/>
          </w:tcPr>
          <w:p>
            <w:r>
              <w:rPr>
                <w:rFonts w:ascii="Calibri" w:hAnsi="Calibri"/>
                <w:sz w:val="22"/>
              </w:rPr>
              <w:t>Diluted EPS — Operating (FY2026)</w:t>
            </w:r>
          </w:p>
        </w:tc>
        <w:tc>
          <w:tcPr>
            <w:tcW w:type="dxa" w:w="1080"/>
          </w:tcPr>
          <w:p>
            <w:r>
              <w:rPr>
                <w:rFonts w:ascii="Calibri" w:hAnsi="Calibri"/>
                <w:sz w:val="22"/>
              </w:rPr>
              <w:t>$4.13</w:t>
            </w:r>
          </w:p>
        </w:tc>
        <w:tc>
          <w:tcPr>
            <w:tcW w:type="dxa" w:w="1080"/>
          </w:tcPr>
          <w:p>
            <w:r>
              <w:rPr>
                <w:rFonts w:ascii="Calibri" w:hAnsi="Calibri"/>
                <w:sz w:val="22"/>
              </w:rPr>
              <w:t>$4.01</w:t>
            </w:r>
          </w:p>
        </w:tc>
        <w:tc>
          <w:tcPr>
            <w:tcW w:type="dxa" w:w="1080"/>
          </w:tcPr>
          <w:p>
            <w:r>
              <w:rPr>
                <w:rFonts w:ascii="Calibri" w:hAnsi="Calibri"/>
                <w:b/>
                <w:color w:val="E5484D"/>
                <w:sz w:val="22"/>
              </w:rPr>
              <w:t>−2.9%</w:t>
            </w:r>
          </w:p>
        </w:tc>
        <w:tc>
          <w:tcPr>
            <w:tcW w:type="dxa" w:w="1080"/>
          </w:tcPr>
          <w:p>
            <w:r>
              <w:rPr>
                <w:rFonts w:ascii="Calibri" w:hAnsi="Calibri"/>
                <w:sz w:val="22"/>
              </w:rPr>
              <w:t>Implied ~$4.10–$4.30 (AOI $2.2B–$2.4B)</w:t>
            </w:r>
          </w:p>
        </w:tc>
        <w:tc>
          <w:tcPr>
            <w:tcW w:type="dxa" w:w="1080"/>
          </w:tcPr>
          <w:p>
            <w:r>
              <w:rPr>
                <w:rFonts w:ascii="Calibri" w:hAnsi="Calibri"/>
                <w:sz w:val="22"/>
              </w:rPr>
              <w:t>Same (no post-Q2 revision)</w:t>
            </w:r>
          </w:p>
        </w:tc>
        <w:tc>
          <w:tcPr>
            <w:tcW w:type="dxa" w:w="1080"/>
          </w:tcPr>
          <w:p>
            <w:r>
              <w:rPr>
                <w:rFonts w:ascii="Calibri" w:hAnsi="Calibri"/>
                <w:sz w:val="22"/>
              </w:rPr>
              <w:t>—</w:t>
            </w:r>
          </w:p>
        </w:tc>
        <w:tc>
          <w:tcPr>
            <w:tcW w:type="dxa" w:w="1080"/>
          </w:tcPr>
          <w:p>
            <w:r>
              <w:rPr>
                <w:rFonts w:ascii="Calibri" w:hAnsi="Calibri"/>
                <w:sz w:val="22"/>
              </w:rPr>
              <w:t>Consensus ~5% below guidance midpoint</w:t>
            </w:r>
          </w:p>
        </w:tc>
      </w:tr>
      <w:tr>
        <w:tc>
          <w:tcPr>
            <w:tcW w:type="dxa" w:w="1080"/>
          </w:tcPr>
          <w:p>
            <w:r>
              <w:rPr>
                <w:rFonts w:ascii="Calibri" w:hAnsi="Calibri"/>
                <w:sz w:val="22"/>
              </w:rPr>
              <w:t>Chicken Segment OI (Q3 FY2026)</w:t>
            </w:r>
          </w:p>
        </w:tc>
        <w:tc>
          <w:tcPr>
            <w:tcW w:type="dxa" w:w="1080"/>
          </w:tcPr>
          <w:p>
            <w:r>
              <w:rPr>
                <w:rFonts w:ascii="Calibri" w:hAnsi="Calibri"/>
                <w:sz w:val="22"/>
              </w:rPr>
              <w:t>$464M</w:t>
            </w:r>
          </w:p>
        </w:tc>
        <w:tc>
          <w:tcPr>
            <w:tcW w:type="dxa" w:w="1080"/>
          </w:tcPr>
          <w:p>
            <w:r>
              <w:rPr>
                <w:rFonts w:ascii="Calibri" w:hAnsi="Calibri"/>
                <w:sz w:val="22"/>
              </w:rPr>
              <w:t>$489M</w:t>
            </w:r>
          </w:p>
        </w:tc>
        <w:tc>
          <w:tcPr>
            <w:tcW w:type="dxa" w:w="1080"/>
          </w:tcPr>
          <w:p>
            <w:r>
              <w:rPr>
                <w:rFonts w:ascii="Calibri" w:hAnsi="Calibri"/>
                <w:b/>
                <w:color w:val="30A46C"/>
                <w:sz w:val="22"/>
              </w:rPr>
              <w:t>+5.4%</w:t>
            </w:r>
          </w:p>
        </w:tc>
        <w:tc>
          <w:tcPr>
            <w:tcW w:type="dxa" w:w="1080"/>
          </w:tcPr>
          <w:p>
            <w:r>
              <w:rPr>
                <w:rFonts w:ascii="Calibri" w:hAnsi="Calibri"/>
                <w:sz w:val="22"/>
              </w:rPr>
              <w:t>No Q3-specific guidance</w:t>
            </w:r>
          </w:p>
        </w:tc>
        <w:tc>
          <w:tcPr>
            <w:tcW w:type="dxa" w:w="1080"/>
          </w:tcPr>
          <w:p>
            <w:r>
              <w:rPr>
                <w:rFonts w:ascii="Calibri" w:hAnsi="Calibri"/>
                <w:sz w:val="22"/>
              </w:rPr>
              <w:t>No Q3-specific guidance</w:t>
            </w:r>
          </w:p>
        </w:tc>
        <w:tc>
          <w:tcPr>
            <w:tcW w:type="dxa" w:w="1080"/>
          </w:tcPr>
          <w:p>
            <w:r>
              <w:rPr>
                <w:rFonts w:ascii="Calibri" w:hAnsi="Calibri"/>
                <w:sz w:val="22"/>
              </w:rPr>
              <w:t>—</w:t>
            </w:r>
          </w:p>
        </w:tc>
        <w:tc>
          <w:tcPr>
            <w:tcW w:type="dxa" w:w="1080"/>
          </w:tcPr>
          <w:p>
            <w:r>
              <w:rPr>
                <w:rFonts w:ascii="Calibri" w:hAnsi="Calibri"/>
                <w:sz w:val="22"/>
              </w:rPr>
              <w:t>—</w:t>
            </w:r>
          </w:p>
        </w:tc>
      </w:tr>
      <w:tr>
        <w:tc>
          <w:tcPr>
            <w:tcW w:type="dxa" w:w="1080"/>
          </w:tcPr>
          <w:p>
            <w:r>
              <w:rPr>
                <w:rFonts w:ascii="Calibri" w:hAnsi="Calibri"/>
                <w:sz w:val="22"/>
              </w:rPr>
              <w:t>Chicken Segment OI (FY2026)</w:t>
            </w:r>
          </w:p>
        </w:tc>
        <w:tc>
          <w:tcPr>
            <w:tcW w:type="dxa" w:w="1080"/>
          </w:tcPr>
          <w:p>
            <w:r>
              <w:rPr>
                <w:rFonts w:ascii="Calibri" w:hAnsi="Calibri"/>
                <w:sz w:val="22"/>
              </w:rPr>
              <w:t>$1,962M</w:t>
            </w:r>
          </w:p>
        </w:tc>
        <w:tc>
          <w:tcPr>
            <w:tcW w:type="dxa" w:w="1080"/>
          </w:tcPr>
          <w:p>
            <w:r>
              <w:rPr>
                <w:rFonts w:ascii="Calibri" w:hAnsi="Calibri"/>
                <w:sz w:val="22"/>
              </w:rPr>
              <w:t>$2,008M</w:t>
            </w:r>
          </w:p>
        </w:tc>
        <w:tc>
          <w:tcPr>
            <w:tcW w:type="dxa" w:w="1080"/>
          </w:tcPr>
          <w:p>
            <w:r>
              <w:rPr>
                <w:rFonts w:ascii="Calibri" w:hAnsi="Calibri"/>
                <w:b/>
                <w:color w:val="30A46C"/>
                <w:sz w:val="22"/>
              </w:rPr>
              <w:t>+2.3%</w:t>
            </w:r>
          </w:p>
        </w:tc>
        <w:tc>
          <w:tcPr>
            <w:tcW w:type="dxa" w:w="1080"/>
          </w:tcPr>
          <w:p>
            <w:r>
              <w:rPr>
                <w:rFonts w:ascii="Calibri" w:hAnsi="Calibri"/>
                <w:sz w:val="22"/>
              </w:rPr>
              <w:t>$1,900M–$2,050M</w:t>
            </w:r>
          </w:p>
        </w:tc>
        <w:tc>
          <w:tcPr>
            <w:tcW w:type="dxa" w:w="1080"/>
          </w:tcPr>
          <w:p>
            <w:r>
              <w:rPr>
                <w:rFonts w:ascii="Calibri" w:hAnsi="Calibri"/>
                <w:sz w:val="22"/>
              </w:rPr>
              <w:t>Same (no post-Q2 revision)</w:t>
            </w:r>
          </w:p>
        </w:tc>
        <w:tc>
          <w:tcPr>
            <w:tcW w:type="dxa" w:w="1080"/>
          </w:tcPr>
          <w:p>
            <w:r>
              <w:rPr>
                <w:rFonts w:ascii="Calibri" w:hAnsi="Calibri"/>
                <w:sz w:val="22"/>
              </w:rPr>
              <w:t>—</w:t>
            </w:r>
          </w:p>
        </w:tc>
        <w:tc>
          <w:tcPr>
            <w:tcW w:type="dxa" w:w="1080"/>
          </w:tcPr>
          <w:p>
            <w:r>
              <w:rPr>
                <w:rFonts w:ascii="Calibri" w:hAnsi="Calibri"/>
                <w:sz w:val="22"/>
              </w:rPr>
              <w:t>Consensus at midpoint; mgmt. says “upper end”</w:t>
            </w:r>
          </w:p>
        </w:tc>
      </w:tr>
      <w:tr>
        <w:tc>
          <w:tcPr>
            <w:tcW w:type="dxa" w:w="1080"/>
          </w:tcPr>
          <w:p>
            <w:r>
              <w:rPr>
                <w:rFonts w:ascii="Calibri" w:hAnsi="Calibri"/>
                <w:sz w:val="22"/>
              </w:rPr>
              <w:t>Beef Segment OI (Q3 FY2026)</w:t>
            </w:r>
          </w:p>
        </w:tc>
        <w:tc>
          <w:tcPr>
            <w:tcW w:type="dxa" w:w="1080"/>
          </w:tcPr>
          <w:p>
            <w:r>
              <w:rPr>
                <w:rFonts w:ascii="Calibri" w:hAnsi="Calibri"/>
                <w:sz w:val="22"/>
              </w:rPr>
              <w:t>$(88)M</w:t>
            </w:r>
          </w:p>
        </w:tc>
        <w:tc>
          <w:tcPr>
            <w:tcW w:type="dxa" w:w="1080"/>
          </w:tcPr>
          <w:p>
            <w:r>
              <w:rPr>
                <w:rFonts w:ascii="Calibri" w:hAnsi="Calibri"/>
                <w:sz w:val="22"/>
              </w:rPr>
              <w:t>$(149)M</w:t>
            </w:r>
          </w:p>
        </w:tc>
        <w:tc>
          <w:tcPr>
            <w:tcW w:type="dxa" w:w="1080"/>
          </w:tcPr>
          <w:p>
            <w:r>
              <w:rPr>
                <w:rFonts w:ascii="Calibri" w:hAnsi="Calibri"/>
                <w:b/>
                <w:color w:val="E5484D"/>
                <w:sz w:val="22"/>
              </w:rPr>
              <w:t>−69.3%</w:t>
            </w:r>
          </w:p>
        </w:tc>
        <w:tc>
          <w:tcPr>
            <w:tcW w:type="dxa" w:w="1080"/>
          </w:tcPr>
          <w:p>
            <w:r>
              <w:rPr>
                <w:rFonts w:ascii="Calibri" w:hAnsi="Calibri"/>
                <w:sz w:val="22"/>
              </w:rPr>
              <w:t>No Q3-specific guidance; H2 better than H1</w:t>
            </w:r>
          </w:p>
        </w:tc>
        <w:tc>
          <w:tcPr>
            <w:tcW w:type="dxa" w:w="1080"/>
          </w:tcPr>
          <w:p>
            <w:r>
              <w:rPr>
                <w:rFonts w:ascii="Calibri" w:hAnsi="Calibri"/>
                <w:sz w:val="22"/>
              </w:rPr>
              <w:t>Same</w:t>
            </w:r>
          </w:p>
        </w:tc>
        <w:tc>
          <w:tcPr>
            <w:tcW w:type="dxa" w:w="1080"/>
          </w:tcPr>
          <w:p>
            <w:r>
              <w:rPr>
                <w:rFonts w:ascii="Calibri" w:hAnsi="Calibri"/>
                <w:sz w:val="22"/>
              </w:rPr>
              <w:t>—</w:t>
            </w:r>
          </w:p>
        </w:tc>
        <w:tc>
          <w:tcPr>
            <w:tcW w:type="dxa" w:w="1080"/>
          </w:tcPr>
          <w:p>
            <w:r>
              <w:rPr>
                <w:rFonts w:ascii="Calibri" w:hAnsi="Calibri"/>
                <w:sz w:val="22"/>
              </w:rPr>
              <w:t>Consensus implies improvement vs. Q2’s $(202)M; within FY range</w:t>
            </w:r>
          </w:p>
        </w:tc>
      </w:tr>
      <w:tr>
        <w:tc>
          <w:tcPr>
            <w:tcW w:type="dxa" w:w="1080"/>
          </w:tcPr>
          <w:p>
            <w:r>
              <w:rPr>
                <w:rFonts w:ascii="Calibri" w:hAnsi="Calibri"/>
                <w:sz w:val="22"/>
              </w:rPr>
              <w:t>Prepared Foods Segment OI (Q3 FY2026)</w:t>
            </w:r>
          </w:p>
        </w:tc>
        <w:tc>
          <w:tcPr>
            <w:tcW w:type="dxa" w:w="1080"/>
          </w:tcPr>
          <w:p>
            <w:r>
              <w:rPr>
                <w:rFonts w:ascii="Calibri" w:hAnsi="Calibri"/>
                <w:sz w:val="22"/>
              </w:rPr>
              <w:t>$335M</w:t>
            </w:r>
          </w:p>
        </w:tc>
        <w:tc>
          <w:tcPr>
            <w:tcW w:type="dxa" w:w="1080"/>
          </w:tcPr>
          <w:p>
            <w:r>
              <w:rPr>
                <w:rFonts w:ascii="Calibri" w:hAnsi="Calibri"/>
                <w:sz w:val="22"/>
              </w:rPr>
              <w:t>$317M</w:t>
            </w:r>
          </w:p>
        </w:tc>
        <w:tc>
          <w:tcPr>
            <w:tcW w:type="dxa" w:w="1080"/>
          </w:tcPr>
          <w:p>
            <w:r>
              <w:rPr>
                <w:rFonts w:ascii="Calibri" w:hAnsi="Calibri"/>
                <w:b/>
                <w:color w:val="E5484D"/>
                <w:sz w:val="22"/>
              </w:rPr>
              <w:t>−5.4%</w:t>
            </w:r>
          </w:p>
        </w:tc>
        <w:tc>
          <w:tcPr>
            <w:tcW w:type="dxa" w:w="1080"/>
          </w:tcPr>
          <w:p>
            <w:r>
              <w:rPr>
                <w:rFonts w:ascii="Calibri" w:hAnsi="Calibri"/>
                <w:sz w:val="22"/>
              </w:rPr>
              <w:t>No Q3-specific guidance</w:t>
            </w:r>
          </w:p>
        </w:tc>
        <w:tc>
          <w:tcPr>
            <w:tcW w:type="dxa" w:w="1080"/>
          </w:tcPr>
          <w:p>
            <w:r>
              <w:rPr>
                <w:rFonts w:ascii="Calibri" w:hAnsi="Calibri"/>
                <w:sz w:val="22"/>
              </w:rPr>
              <w:t>No Q3-specific guidance</w:t>
            </w:r>
          </w:p>
        </w:tc>
        <w:tc>
          <w:tcPr>
            <w:tcW w:type="dxa" w:w="1080"/>
          </w:tcPr>
          <w:p>
            <w:r>
              <w:rPr>
                <w:rFonts w:ascii="Calibri" w:hAnsi="Calibri"/>
                <w:sz w:val="22"/>
              </w:rPr>
              <w:t>—</w:t>
            </w:r>
          </w:p>
        </w:tc>
        <w:tc>
          <w:tcPr>
            <w:tcW w:type="dxa" w:w="1080"/>
          </w:tcPr>
          <w:p>
            <w:r>
              <w:rPr>
                <w:rFonts w:ascii="Calibri" w:hAnsi="Calibri"/>
                <w:sz w:val="22"/>
              </w:rPr>
              <w:t>—</w:t>
            </w:r>
          </w:p>
        </w:tc>
      </w:tr>
      <w:tr>
        <w:tc>
          <w:tcPr>
            <w:tcW w:type="dxa" w:w="1080"/>
          </w:tcPr>
          <w:p>
            <w:r>
              <w:rPr>
                <w:rFonts w:ascii="Calibri" w:hAnsi="Calibri"/>
                <w:sz w:val="22"/>
              </w:rPr>
              <w:t>Sales (Q3 FY2026)</w:t>
            </w:r>
          </w:p>
        </w:tc>
        <w:tc>
          <w:tcPr>
            <w:tcW w:type="dxa" w:w="1080"/>
          </w:tcPr>
          <w:p>
            <w:r>
              <w:rPr>
                <w:rFonts w:ascii="Calibri" w:hAnsi="Calibri"/>
                <w:sz w:val="22"/>
              </w:rPr>
              <w:t>$14.14B</w:t>
            </w:r>
          </w:p>
        </w:tc>
        <w:tc>
          <w:tcPr>
            <w:tcW w:type="dxa" w:w="1080"/>
          </w:tcPr>
          <w:p>
            <w:r>
              <w:rPr>
                <w:rFonts w:ascii="Calibri" w:hAnsi="Calibri"/>
                <w:sz w:val="22"/>
              </w:rPr>
              <w:t>$14.01B</w:t>
            </w:r>
          </w:p>
        </w:tc>
        <w:tc>
          <w:tcPr>
            <w:tcW w:type="dxa" w:w="1080"/>
          </w:tcPr>
          <w:p>
            <w:r>
              <w:rPr>
                <w:rFonts w:ascii="Calibri" w:hAnsi="Calibri"/>
                <w:sz w:val="22"/>
              </w:rPr>
              <w:t>−0.9%</w:t>
            </w:r>
          </w:p>
        </w:tc>
        <w:tc>
          <w:tcPr>
            <w:tcW w:type="dxa" w:w="1080"/>
          </w:tcPr>
          <w:p>
            <w:r>
              <w:rPr>
                <w:rFonts w:ascii="Calibri" w:hAnsi="Calibri"/>
                <w:sz w:val="22"/>
              </w:rPr>
              <w:t>No Q3-specific guidance</w:t>
            </w:r>
          </w:p>
        </w:tc>
        <w:tc>
          <w:tcPr>
            <w:tcW w:type="dxa" w:w="1080"/>
          </w:tcPr>
          <w:p>
            <w:r>
              <w:rPr>
                <w:rFonts w:ascii="Calibri" w:hAnsi="Calibri"/>
                <w:sz w:val="22"/>
              </w:rPr>
              <w:t>No Q3-specific guidance</w:t>
            </w:r>
          </w:p>
        </w:tc>
        <w:tc>
          <w:tcPr>
            <w:tcW w:type="dxa" w:w="1080"/>
          </w:tcPr>
          <w:p>
            <w:r>
              <w:rPr>
                <w:rFonts w:ascii="Calibri" w:hAnsi="Calibri"/>
                <w:sz w:val="22"/>
              </w:rPr>
              <w:t>—</w:t>
            </w:r>
          </w:p>
        </w:tc>
        <w:tc>
          <w:tcPr>
            <w:tcW w:type="dxa" w:w="1080"/>
          </w:tcPr>
          <w:p>
            <w:r>
              <w:rPr>
                <w:rFonts w:ascii="Calibri" w:hAnsi="Calibri"/>
                <w:sz w:val="22"/>
              </w:rPr>
              <w:t>—</w:t>
            </w:r>
          </w:p>
        </w:tc>
      </w:tr>
    </w:tbl>
    <w:p>
      <w:r>
        <w:rPr>
          <w:rFonts w:ascii="Calibri" w:hAnsi="Calibri"/>
          <w:color w:val="525866"/>
          <w:sz w:val="22"/>
        </w:rPr>
        <w:t>The most notable divergence is in Beef: the post-Q2 baseline consensus for Q3 was $(88)M, but current consensus has deteriorated to $(149)M — a 69% downward revision — reflecting the market’s skepticism about the pace of cattle supply normalization. Conversely, Chicken OI estimates for Q3 have been revised up 5.4% since the print, consistent with management’s confident tone. The USDA Mexico cattle import resumption (July 27) is not yet reflected in consensus and represents a potential positive revision catalyst heading into the print.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TSN has significantly underperformed both XLP and the S&amp;P 500 since the Q2 earnings print, driven almost entirely by multiple compression rather than estimate cuts — the stock is down ~15.6% from its May 4 close of $68.75 to $57.98 on July 31, while XLP is up ~1.8% and SPY is up ~4.1% over the same period. The July 27 USDA catalyst (Mexico cattle imports) provided a sharp 6.9% intraday bounce, partially reversing the trend.</w:t>
      </w:r>
    </w:p>
    <w:p>
      <w:r>
        <w:rPr>
          <w:rFonts w:ascii="Calibri" w:hAnsi="Calibri"/>
          <w:b/>
          <w:color w:val="525866"/>
          <w:sz w:val="22"/>
        </w:rPr>
        <w:t>Indexed Performance (Base = 100 at May 4, 2026 close):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TSN (Indexed)</w:t>
            </w:r>
          </w:p>
        </w:tc>
        <w:tc>
          <w:tcPr>
            <w:tcW w:type="dxa" w:w="2160"/>
            <w:shd w:val="clear" w:color="auto" w:fill="3B4259"/>
          </w:tcPr>
          <w:p>
            <w:r>
              <w:rPr>
                <w:rFonts w:ascii="Calibri" w:hAnsi="Calibri"/>
                <w:b/>
                <w:color w:val="FFFFFF"/>
                <w:sz w:val="22"/>
              </w:rPr>
              <w:t>XLP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4, 2026 (Last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28, 2026 (BMO Conference)</w:t>
            </w:r>
          </w:p>
        </w:tc>
        <w:tc>
          <w:tcPr>
            <w:tcW w:type="dxa" w:w="2160"/>
          </w:tcPr>
          <w:p>
            <w:r>
              <w:rPr>
                <w:rFonts w:ascii="Calibri" w:hAnsi="Calibri"/>
                <w:sz w:val="22"/>
              </w:rPr>
              <w:t>90.2</w:t>
            </w:r>
          </w:p>
        </w:tc>
        <w:tc>
          <w:tcPr>
            <w:tcW w:type="dxa" w:w="2160"/>
          </w:tcPr>
          <w:p>
            <w:r>
              <w:rPr>
                <w:rFonts w:ascii="Calibri" w:hAnsi="Calibri"/>
                <w:sz w:val="22"/>
              </w:rPr>
              <w:t>101.1</w:t>
            </w:r>
          </w:p>
        </w:tc>
        <w:tc>
          <w:tcPr>
            <w:tcW w:type="dxa" w:w="2160"/>
          </w:tcPr>
          <w:p>
            <w:r>
              <w:rPr>
                <w:rFonts w:ascii="Calibri" w:hAnsi="Calibri"/>
                <w:sz w:val="22"/>
              </w:rPr>
              <w:t>105.1</w:t>
            </w:r>
          </w:p>
        </w:tc>
      </w:tr>
      <w:tr>
        <w:tc>
          <w:tcPr>
            <w:tcW w:type="dxa" w:w="2160"/>
          </w:tcPr>
          <w:p>
            <w:r>
              <w:rPr>
                <w:rFonts w:ascii="Calibri" w:hAnsi="Calibri"/>
                <w:sz w:val="22"/>
              </w:rPr>
              <w:t>June 18, 2026 (John Tyson Employment Deal 8-K)</w:t>
            </w:r>
          </w:p>
        </w:tc>
        <w:tc>
          <w:tcPr>
            <w:tcW w:type="dxa" w:w="2160"/>
          </w:tcPr>
          <w:p>
            <w:r>
              <w:rPr>
                <w:rFonts w:ascii="Calibri" w:hAnsi="Calibri"/>
                <w:sz w:val="22"/>
              </w:rPr>
              <w:t>80.7</w:t>
            </w:r>
          </w:p>
        </w:tc>
        <w:tc>
          <w:tcPr>
            <w:tcW w:type="dxa" w:w="2160"/>
          </w:tcPr>
          <w:p>
            <w:r>
              <w:rPr>
                <w:rFonts w:ascii="Calibri" w:hAnsi="Calibri"/>
                <w:sz w:val="22"/>
              </w:rPr>
              <w:t>99.7</w:t>
            </w:r>
          </w:p>
        </w:tc>
        <w:tc>
          <w:tcPr>
            <w:tcW w:type="dxa" w:w="2160"/>
          </w:tcPr>
          <w:p>
            <w:r>
              <w:rPr>
                <w:rFonts w:ascii="Calibri" w:hAnsi="Calibri"/>
                <w:sz w:val="22"/>
              </w:rPr>
              <w:t>104.0</w:t>
            </w:r>
          </w:p>
        </w:tc>
      </w:tr>
      <w:tr>
        <w:tc>
          <w:tcPr>
            <w:tcW w:type="dxa" w:w="2160"/>
          </w:tcPr>
          <w:p>
            <w:r>
              <w:rPr>
                <w:rFonts w:ascii="Calibri" w:hAnsi="Calibri"/>
                <w:sz w:val="22"/>
              </w:rPr>
              <w:t>June 30, 2026 (Quarter End)</w:t>
            </w:r>
          </w:p>
        </w:tc>
        <w:tc>
          <w:tcPr>
            <w:tcW w:type="dxa" w:w="2160"/>
          </w:tcPr>
          <w:p>
            <w:r>
              <w:rPr>
                <w:rFonts w:ascii="Calibri" w:hAnsi="Calibri"/>
                <w:sz w:val="22"/>
              </w:rPr>
              <w:t>83.3</w:t>
            </w:r>
          </w:p>
        </w:tc>
        <w:tc>
          <w:tcPr>
            <w:tcW w:type="dxa" w:w="2160"/>
          </w:tcPr>
          <w:p>
            <w:r>
              <w:rPr>
                <w:rFonts w:ascii="Calibri" w:hAnsi="Calibri"/>
                <w:sz w:val="22"/>
              </w:rPr>
              <w:t>99.4</w:t>
            </w:r>
          </w:p>
        </w:tc>
        <w:tc>
          <w:tcPr>
            <w:tcW w:type="dxa" w:w="2160"/>
          </w:tcPr>
          <w:p>
            <w:r>
              <w:rPr>
                <w:rFonts w:ascii="Calibri" w:hAnsi="Calibri"/>
                <w:sz w:val="22"/>
              </w:rPr>
              <w:t>104.0</w:t>
            </w:r>
          </w:p>
        </w:tc>
      </w:tr>
      <w:tr>
        <w:tc>
          <w:tcPr>
            <w:tcW w:type="dxa" w:w="2160"/>
          </w:tcPr>
          <w:p>
            <w:r>
              <w:rPr>
                <w:rFonts w:ascii="Calibri" w:hAnsi="Calibri"/>
                <w:sz w:val="22"/>
              </w:rPr>
              <w:t>July 27, 2026 (USDA Mexico Cattle Announcement)</w:t>
            </w:r>
          </w:p>
        </w:tc>
        <w:tc>
          <w:tcPr>
            <w:tcW w:type="dxa" w:w="2160"/>
          </w:tcPr>
          <w:p>
            <w:r>
              <w:rPr>
                <w:rFonts w:ascii="Calibri" w:hAnsi="Calibri"/>
                <w:sz w:val="22"/>
              </w:rPr>
              <w:t>88.3</w:t>
            </w:r>
          </w:p>
        </w:tc>
        <w:tc>
          <w:tcPr>
            <w:tcW w:type="dxa" w:w="2160"/>
          </w:tcPr>
          <w:p>
            <w:r>
              <w:rPr>
                <w:rFonts w:ascii="Calibri" w:hAnsi="Calibri"/>
                <w:sz w:val="22"/>
              </w:rPr>
              <w:t>102.2</w:t>
            </w:r>
          </w:p>
        </w:tc>
        <w:tc>
          <w:tcPr>
            <w:tcW w:type="dxa" w:w="2160"/>
          </w:tcPr>
          <w:p>
            <w:r>
              <w:rPr>
                <w:rFonts w:ascii="Calibri" w:hAnsi="Calibri"/>
                <w:sz w:val="22"/>
              </w:rPr>
              <w:t>102.9</w:t>
            </w:r>
          </w:p>
        </w:tc>
      </w:tr>
      <w:tr>
        <w:tc>
          <w:tcPr>
            <w:tcW w:type="dxa" w:w="2160"/>
          </w:tcPr>
          <w:p>
            <w:r>
              <w:rPr>
                <w:rFonts w:ascii="Calibri" w:hAnsi="Calibri"/>
                <w:sz w:val="22"/>
              </w:rPr>
              <w:t>July 31, 2026 (Most Recent Close)</w:t>
            </w:r>
          </w:p>
        </w:tc>
        <w:tc>
          <w:tcPr>
            <w:tcW w:type="dxa" w:w="2160"/>
          </w:tcPr>
          <w:p>
            <w:r>
              <w:rPr>
                <w:rFonts w:ascii="Calibri" w:hAnsi="Calibri"/>
                <w:sz w:val="22"/>
              </w:rPr>
              <w:t>84.3</w:t>
            </w:r>
          </w:p>
        </w:tc>
        <w:tc>
          <w:tcPr>
            <w:tcW w:type="dxa" w:w="2160"/>
          </w:tcPr>
          <w:p>
            <w:r>
              <w:rPr>
                <w:rFonts w:ascii="Calibri" w:hAnsi="Calibri"/>
                <w:sz w:val="22"/>
              </w:rPr>
              <w:t>101.8</w:t>
            </w:r>
          </w:p>
        </w:tc>
        <w:tc>
          <w:tcPr>
            <w:tcW w:type="dxa" w:w="2160"/>
          </w:tcPr>
          <w:p>
            <w:r>
              <w:rPr>
                <w:rFonts w:ascii="Calibri" w:hAnsi="Calibri"/>
                <w:sz w:val="22"/>
              </w:rPr>
              <w:t>104.1</w:t>
            </w:r>
          </w:p>
        </w:tc>
      </w:tr>
    </w:tbl>
    <w:p>
      <w:r>
        <w:rPr>
          <w:rFonts w:ascii="Calibri" w:hAnsi="Calibri"/>
          <w:b/>
          <w:color w:val="525866"/>
          <w:sz w:val="22"/>
        </w:rPr>
        <w:t xml:space="preserve">Performance Summary: </w:t>
      </w:r>
      <w:r>
        <w:rPr>
          <w:rFonts w:ascii="Calibri" w:hAnsi="Calibri"/>
          <w:color w:val="525866"/>
          <w:sz w:val="22"/>
        </w:rPr>
        <w:t>TSN closed at $57.98 on July 31, 2026, down $10.77 / −15.6% from the May 4 earnings-day close of $68.75. XLP gained +1.8% and SPY gained +4.1% over the same period. The stock’s underperformance is driven by multiple compression (NTM EV/EBITDA contracted from ~8.5x to ~7.8x over 6 months) rather than meaningful estimate cuts, suggesting sentiment-driven selling rather than fundamental deterioration. The stock trades at 13.5x NTM P/E versus a historical mid-cycle range of high-teens to low-twenties, implying significant upside if Beef losses trough and Chicken margins prove durable.</w:t>
      </w:r>
    </w:p>
    <w:p>
      <w:r>
        <w:rPr>
          <w:rFonts w:ascii="Calibri" w:hAnsi="Calibri"/>
          <w:b/>
          <w:color w:val="525866"/>
          <w:sz w:val="22"/>
        </w:rPr>
        <w:t>Key Events Marked:</w:t>
      </w:r>
    </w:p>
    <w:p>
      <w:pPr>
        <w:pStyle w:val="ListBullet"/>
        <w:ind w:left="360" w:hanging="360"/>
      </w:pPr>
      <w:r>
        <w:rPr>
          <w:rFonts w:ascii="Calibri" w:hAnsi="Calibri"/>
          <w:b/>
          <w:color w:val="525866"/>
          <w:sz w:val="22"/>
        </w:rPr>
        <w:t>May 7, 2026:</w:t>
      </w:r>
      <w:r>
        <w:rPr>
          <w:rFonts w:ascii="Calibri" w:hAnsi="Calibri"/>
          <w:color w:val="525866"/>
          <w:sz w:val="22"/>
        </w:rPr>
        <w:t xml:space="preserve"> TSN participates in BMO Global Farm to Market Conference — no material guidance update.</w:t>
      </w:r>
    </w:p>
    <w:p>
      <w:pPr>
        <w:pStyle w:val="ListBullet"/>
        <w:ind w:left="360" w:hanging="360"/>
      </w:pPr>
      <w:r>
        <w:rPr>
          <w:rFonts w:ascii="Calibri" w:hAnsi="Calibri"/>
          <w:b/>
          <w:color w:val="525866"/>
          <w:sz w:val="22"/>
        </w:rPr>
        <w:t>June 17–18, 2026:</w:t>
      </w:r>
      <w:r>
        <w:rPr>
          <w:rFonts w:ascii="Calibri" w:hAnsi="Calibri"/>
          <w:color w:val="525866"/>
          <w:sz w:val="22"/>
        </w:rPr>
        <w:t xml:space="preserve"> 8-K/A disclosing former COO Devin Cole’s $10.6M separation package; 8-K disclosing Chairman John Tyson’s richer employment deal with $40M bonus — governance overhang contributed to stock weakness.</w:t>
      </w:r>
    </w:p>
    <w:p>
      <w:pPr>
        <w:pStyle w:val="ListBullet"/>
        <w:ind w:left="360" w:hanging="360"/>
      </w:pPr>
      <w:r>
        <w:rPr>
          <w:rFonts w:ascii="Calibri" w:hAnsi="Calibri"/>
          <w:b/>
          <w:color w:val="525866"/>
          <w:sz w:val="22"/>
        </w:rPr>
        <w:t>June 23, 2026:</w:t>
      </w:r>
      <w:r>
        <w:rPr>
          <w:rFonts w:ascii="Calibri" w:hAnsi="Calibri"/>
          <w:color w:val="525866"/>
          <w:sz w:val="22"/>
        </w:rPr>
        <w:t xml:space="preserve"> TSN announces Q3 FY2026 earnings call date (August 3, 2026).</w:t>
      </w:r>
    </w:p>
    <w:p>
      <w:pPr>
        <w:pStyle w:val="ListBullet"/>
        <w:ind w:left="360" w:hanging="360"/>
      </w:pPr>
      <w:r>
        <w:rPr>
          <w:rFonts w:ascii="Calibri" w:hAnsi="Calibri"/>
          <w:b/>
          <w:color w:val="525866"/>
          <w:sz w:val="22"/>
        </w:rPr>
        <w:t>July 27, 2026:</w:t>
      </w:r>
      <w:r>
        <w:rPr>
          <w:rFonts w:ascii="Calibri" w:hAnsi="Calibri"/>
          <w:color w:val="525866"/>
          <w:sz w:val="22"/>
        </w:rPr>
        <w:t xml:space="preserve"> USDA announces resumption of cattle imports from Mexico — TSN surges ~6.9% intraday, largest single-day move in ~3 months.</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USDA’s July 27 resumption of Mexican cattle imports is the most material post-earnings development — it directly addresses the primary drag on TSN’s earnings and could accelerate the Beef recovery timeline ahead of management’s current guidance.</w:t>
      </w:r>
    </w:p>
    <w:p>
      <w:pPr>
        <w:pStyle w:val="ListBullet"/>
        <w:ind w:left="360" w:hanging="360"/>
      </w:pPr>
      <w:r>
        <w:rPr>
          <w:rFonts w:ascii="Calibri" w:hAnsi="Calibri"/>
          <w:b/>
          <w:color w:val="525866"/>
          <w:sz w:val="22"/>
        </w:rPr>
        <w:t>July 27, 2026 — USDA Resumes Cattle Imports from Mexico:</w:t>
      </w:r>
      <w:r>
        <w:rPr>
          <w:rFonts w:ascii="Calibri" w:hAnsi="Calibri"/>
          <w:color w:val="525866"/>
          <w:sz w:val="22"/>
        </w:rPr>
        <w:t xml:space="preserve"> The USDA announced the resumption of cattle shipments from Mexico in an effort to ease the domestic cattle shortage that has driven up beef prices and pressured TSN’s Beef segment. TSN shares surged as much as 6.9% intraday on the news — the largest intraday gain in ~3 months. </w:t>
      </w:r>
      <w:r>
        <w:rPr>
          <w:rFonts w:ascii="Calibri" w:hAnsi="Calibri"/>
          <w:b/>
          <w:color w:val="525866"/>
          <w:sz w:val="22"/>
        </w:rPr>
        <w:t>Implication:</w:t>
      </w:r>
      <w:r>
        <w:rPr>
          <w:rFonts w:ascii="Calibri" w:hAnsi="Calibri"/>
          <w:color w:val="525866"/>
          <w:sz w:val="22"/>
        </w:rPr>
        <w:t xml:space="preserve"> If sustained, this could meaningfully reduce Beef losses in Q4 FY2026 and accelerate the cattle cycle recovery, potentially allowing TSN to narrow or beat the $(500)M–$(350)M FY2026 Beef guidance range. This is the single most important development since the Q2 print.</w:t>
      </w:r>
    </w:p>
    <w:p>
      <w:pPr>
        <w:pStyle w:val="ListBullet"/>
        <w:ind w:left="360" w:hanging="360"/>
      </w:pPr>
      <w:r>
        <w:rPr>
          <w:rFonts w:ascii="Calibri" w:hAnsi="Calibri"/>
          <w:b/>
          <w:color w:val="525866"/>
          <w:sz w:val="22"/>
        </w:rPr>
        <w:t>June 18, 2026 — Chairman John Tyson Employment Deal (8-K):</w:t>
      </w:r>
      <w:r>
        <w:rPr>
          <w:rFonts w:ascii="Calibri" w:hAnsi="Calibri"/>
          <w:color w:val="525866"/>
          <w:sz w:val="22"/>
        </w:rPr>
        <w:t xml:space="preserve"> Tyson Foods disclosed a richer employment deal for Chairman John Tyson, including a $40M bonus. </w:t>
      </w:r>
      <w:r>
        <w:rPr>
          <w:rFonts w:ascii="Calibri" w:hAnsi="Calibri"/>
          <w:b/>
          <w:color w:val="525866"/>
          <w:sz w:val="22"/>
        </w:rPr>
        <w:t>Implication:</w:t>
      </w:r>
      <w:r>
        <w:rPr>
          <w:rFonts w:ascii="Calibri" w:hAnsi="Calibri"/>
          <w:color w:val="525866"/>
          <w:sz w:val="22"/>
        </w:rPr>
        <w:t xml:space="preserve"> Governance overhang; contributed to stock weakness in mid-June. Investors may question capital allocation discipline given the company’s ongoing Beef losses.</w:t>
      </w:r>
    </w:p>
    <w:p>
      <w:pPr>
        <w:pStyle w:val="ListBullet"/>
        <w:ind w:left="360" w:hanging="360"/>
      </w:pPr>
      <w:r>
        <w:rPr>
          <w:rFonts w:ascii="Calibri" w:hAnsi="Calibri"/>
          <w:b/>
          <w:color w:val="525866"/>
          <w:sz w:val="22"/>
        </w:rPr>
        <w:t>June 17, 2026 — Former COO Separation Package (8-K/A):</w:t>
      </w:r>
      <w:r>
        <w:rPr>
          <w:rFonts w:ascii="Calibri" w:hAnsi="Calibri"/>
          <w:color w:val="525866"/>
          <w:sz w:val="22"/>
        </w:rPr>
        <w:t xml:space="preserve"> TSN disclosed former COO Devin Cole’s $10.6M separation package. </w:t>
      </w:r>
      <w:r>
        <w:rPr>
          <w:rFonts w:ascii="Calibri" w:hAnsi="Calibri"/>
          <w:b/>
          <w:color w:val="525866"/>
          <w:sz w:val="22"/>
        </w:rPr>
        <w:t>Implication:</w:t>
      </w:r>
      <w:r>
        <w:rPr>
          <w:rFonts w:ascii="Calibri" w:hAnsi="Calibri"/>
          <w:color w:val="525866"/>
          <w:sz w:val="22"/>
        </w:rPr>
        <w:t xml:space="preserve"> Additional governance noise; management transition risk is a watch item but not a fundamental earnings driver.</w:t>
      </w:r>
    </w:p>
    <w:p>
      <w:pPr>
        <w:pStyle w:val="ListBullet"/>
        <w:ind w:left="360" w:hanging="360"/>
      </w:pPr>
      <w:r>
        <w:rPr>
          <w:rFonts w:ascii="Calibri" w:hAnsi="Calibri"/>
          <w:b/>
          <w:color w:val="525866"/>
          <w:sz w:val="22"/>
        </w:rPr>
        <w:t>May 7, 2026 — BMO Global Farm to Market Conference:</w:t>
      </w:r>
      <w:r>
        <w:rPr>
          <w:rFonts w:ascii="Calibri" w:hAnsi="Calibri"/>
          <w:color w:val="525866"/>
          <w:sz w:val="22"/>
        </w:rPr>
        <w:t xml:space="preserve"> TSN participated in the 21st Annual BMO Global Farm to Market Conference. No material guidance update was disclosed. </w:t>
      </w:r>
      <w:r>
        <w:rPr>
          <w:rFonts w:ascii="Calibri" w:hAnsi="Calibri"/>
          <w:b/>
          <w:color w:val="525866"/>
          <w:sz w:val="22"/>
        </w:rPr>
        <w:t>Implication:</w:t>
      </w:r>
      <w:r>
        <w:rPr>
          <w:rFonts w:ascii="Calibri" w:hAnsi="Calibri"/>
          <w:color w:val="525866"/>
          <w:sz w:val="22"/>
        </w:rPr>
        <w:t xml:space="preserve"> Neutral; management maintained Q2 earnings call tone.</w:t>
      </w:r>
    </w:p>
    <w:p>
      <w:pPr>
        <w:pStyle w:val="ListBullet"/>
        <w:ind w:left="360" w:hanging="360"/>
      </w:pPr>
      <w:r>
        <w:rPr>
          <w:rFonts w:ascii="Calibri" w:hAnsi="Calibri"/>
          <w:b/>
          <w:color w:val="525866"/>
          <w:sz w:val="22"/>
        </w:rPr>
        <w:t>July 22, 2026 — Brazil Tariff Exemptions for Agricultural Exports:</w:t>
      </w:r>
      <w:r>
        <w:rPr>
          <w:rFonts w:ascii="Calibri" w:hAnsi="Calibri"/>
          <w:color w:val="525866"/>
          <w:sz w:val="22"/>
        </w:rPr>
        <w:t xml:space="preserve"> The Trump administration’s 25% tariffs on Brazilian imports excluded major agricultural exports including beef, reducing near-term inflation risk for U.S. meat processors. </w:t>
      </w:r>
      <w:r>
        <w:rPr>
          <w:rFonts w:ascii="Calibri" w:hAnsi="Calibri"/>
          <w:b/>
          <w:color w:val="525866"/>
          <w:sz w:val="22"/>
        </w:rPr>
        <w:t>Implication:</w:t>
      </w:r>
      <w:r>
        <w:rPr>
          <w:rFonts w:ascii="Calibri" w:hAnsi="Calibri"/>
          <w:color w:val="525866"/>
          <w:sz w:val="22"/>
        </w:rPr>
        <w:t xml:space="preserve"> Modestly positive for TSN’s input cost outlook; Brazilian beef exemption reduces competitive import pressure.</w:t>
      </w:r>
    </w:p>
    <w:p>
      <w:pPr>
        <w:pStyle w:val="ListBullet"/>
        <w:ind w:left="360" w:hanging="360"/>
      </w:pPr>
      <w:r>
        <w:rPr>
          <w:rFonts w:ascii="Calibri" w:hAnsi="Calibri"/>
          <w:b/>
          <w:color w:val="525866"/>
          <w:sz w:val="22"/>
        </w:rPr>
        <w:t>July 24–25, 2026 — New Section 301 Tariffs on 60 Trading Partners:</w:t>
      </w:r>
      <w:r>
        <w:rPr>
          <w:rFonts w:ascii="Calibri" w:hAnsi="Calibri"/>
          <w:color w:val="525866"/>
          <w:sz w:val="22"/>
        </w:rPr>
        <w:t xml:space="preserve"> The Trump administration imposed new tariffs of 10–12.5% on imports from 60 economies, replacing the expired temporary 10% global tariff. </w:t>
      </w:r>
      <w:r>
        <w:rPr>
          <w:rFonts w:ascii="Calibri" w:hAnsi="Calibri"/>
          <w:b/>
          <w:color w:val="525866"/>
          <w:sz w:val="22"/>
        </w:rPr>
        <w:t>Implication:</w:t>
      </w:r>
      <w:r>
        <w:rPr>
          <w:rFonts w:ascii="Calibri" w:hAnsi="Calibri"/>
          <w:color w:val="525866"/>
          <w:sz w:val="22"/>
        </w:rPr>
        <w:t xml:space="preserve"> Modest input cost headwind for TSN via packaging (resin) and freight; management had already flagged freight and diesel cost increases on the Q2 call.</w:t>
      </w:r>
    </w:p>
    <w:p>
      <w:pPr>
        <w:pStyle w:val="ListBullet"/>
        <w:ind w:left="360" w:hanging="360"/>
      </w:pPr>
      <w:r>
        <w:rPr>
          <w:rFonts w:ascii="Calibri" w:hAnsi="Calibri"/>
          <w:b/>
          <w:color w:val="525866"/>
          <w:sz w:val="22"/>
        </w:rPr>
        <w:t>Ongoing — Avian Influenza (HPAI) Risk:</w:t>
      </w:r>
      <w:r>
        <w:rPr>
          <w:rFonts w:ascii="Calibri" w:hAnsi="Calibri"/>
          <w:color w:val="525866"/>
          <w:sz w:val="22"/>
        </w:rPr>
        <w:t xml:space="preserve"> Cal-Maine Foods (July 22) flagged that HPAI “is not gone” with recent outbreaks in the U.S. and globally. </w:t>
      </w:r>
      <w:r>
        <w:rPr>
          <w:rFonts w:ascii="Calibri" w:hAnsi="Calibri"/>
          <w:b/>
          <w:color w:val="525866"/>
          <w:sz w:val="22"/>
        </w:rPr>
        <w:t>Implication:</w:t>
      </w:r>
      <w:r>
        <w:rPr>
          <w:rFonts w:ascii="Calibri" w:hAnsi="Calibri"/>
          <w:color w:val="525866"/>
          <w:sz w:val="22"/>
        </w:rPr>
        <w:t xml:space="preserve"> Tail risk for TSN’s Chicken segment; any material HPAI outbreak could disrupt supply and operations. Management noted no disease interruptions as of the Q2 call.</w:t>
      </w:r>
    </w:p>
    <w:p>
      <w:pPr>
        <w:pStyle w:val="ListBullet"/>
        <w:ind w:left="360" w:hanging="360"/>
      </w:pPr>
      <w:r>
        <w:rPr>
          <w:rFonts w:ascii="Calibri" w:hAnsi="Calibri"/>
          <w:b/>
          <w:color w:val="525866"/>
          <w:sz w:val="22"/>
        </w:rPr>
        <w:t>Ongoing — China Poultry Export Resumption:</w:t>
      </w:r>
      <w:r>
        <w:rPr>
          <w:rFonts w:ascii="Calibri" w:hAnsi="Calibri"/>
          <w:color w:val="525866"/>
          <w:sz w:val="22"/>
        </w:rPr>
        <w:t xml:space="preserve"> Pilgrim’s Pride (July 30) noted that China released 17 U.S. states from its avian influenza ban, allowing raw poultry shipments to resume, with further state releases possible. </w:t>
      </w:r>
      <w:r>
        <w:rPr>
          <w:rFonts w:ascii="Calibri" w:hAnsi="Calibri"/>
          <w:b/>
          <w:color w:val="525866"/>
          <w:sz w:val="22"/>
        </w:rPr>
        <w:t>Implication:</w:t>
      </w:r>
      <w:r>
        <w:rPr>
          <w:rFonts w:ascii="Calibri" w:hAnsi="Calibri"/>
          <w:color w:val="525866"/>
          <w:sz w:val="22"/>
        </w:rPr>
        <w:t xml:space="preserve"> Positive for U.S. poultry industry including TSN; incremental export demand could support chicken pricing and help absorb domestic supply.</w:t>
      </w:r>
    </w:p>
    <w:p>
      <w:pPr>
        <w:pStyle w:val="ListBullet"/>
        <w:ind w:left="360" w:hanging="360"/>
      </w:pPr>
      <w:r>
        <w:rPr>
          <w:rFonts w:ascii="Calibri" w:hAnsi="Calibri"/>
          <w:b/>
          <w:color w:val="525866"/>
          <w:sz w:val="22"/>
        </w:rPr>
        <w:t>Ongoing — Inflation &amp; Consumer Pressure:</w:t>
      </w:r>
      <w:r>
        <w:rPr>
          <w:rFonts w:ascii="Calibri" w:hAnsi="Calibri"/>
          <w:color w:val="525866"/>
          <w:sz w:val="22"/>
        </w:rPr>
        <w:t xml:space="preserve"> Multiple peers (Hormel June 8, ConAgra July 15, PepsiCo July 19) flagged persistent consumer strain from cumulative inflation, elevated fuel prices, and cautious spending. </w:t>
      </w:r>
      <w:r>
        <w:rPr>
          <w:rFonts w:ascii="Calibri" w:hAnsi="Calibri"/>
          <w:b/>
          <w:color w:val="525866"/>
          <w:sz w:val="22"/>
        </w:rPr>
        <w:t>Implication:</w:t>
      </w:r>
      <w:r>
        <w:rPr>
          <w:rFonts w:ascii="Calibri" w:hAnsi="Calibri"/>
          <w:color w:val="525866"/>
          <w:sz w:val="22"/>
        </w:rPr>
        <w:t xml:space="preserve"> Chicken’s affordability advantage is a structural tailwind; Prepared Foods branded portfolio may face volume pressure if pricing actions are required.</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for TSN in the period since the Q2 FY2026 earnings print (May 4, 2026 through August 2, 2026). The absence of insider buying is notable given the stock’s ~15.6% decline from the post-earnings high, though it is not necessarily a negative signal given the company’s blackout window ahead of the August 3 print.</w:t>
      </w:r>
    </w:p>
    <w:p>
      <w:r>
        <w:rPr>
          <w:rFonts w:ascii="Calibri" w:hAnsi="Calibri"/>
          <w:color w:val="525866"/>
          <w:sz w:val="22"/>
        </w:rPr>
        <w:t>No Form 4 open-market buy (code P) or open-market sell (code S) transactions were found for TSN insiders in the 60-day window from June 3 to August 2, 2026. The company would be in a standard pre-earnings blackout period in the weeks leading up to the August 3 earnings call, which limits the informational value of the absence of transactions. No 10b5-1 plan initiations were identified in the SEC filings reviewed.</w:t>
      </w:r>
    </w:p>
    <w:p>
      <w:r>
        <w:rPr>
          <w:rFonts w:ascii="Calibri" w:hAnsi="Calibri"/>
          <w:b/>
          <w:color w:val="525866"/>
          <w:sz w:val="22"/>
        </w:rPr>
        <w:t>Note:</w:t>
      </w:r>
      <w:r>
        <w:rPr>
          <w:rFonts w:ascii="Calibri" w:hAnsi="Calibri"/>
          <w:color w:val="525866"/>
          <w:sz w:val="22"/>
        </w:rPr>
        <w:t xml:space="preserve"> The governance-related 8-K disclosures (Chairman John Tyson’s $40M employment bonus on June 18 and former COO Cole’s $10.6M separation package on June 17) are compensation/contractual items, not open-market insider transactions, and are covered in the Material News section above.</w:t>
      </w:r>
    </w:p>
    <w:p>
      <w:r>
        <w:br w:type="page"/>
      </w:r>
    </w:p>
    <w:p>
      <w:pPr>
        <w:pStyle w:val="Heading2"/>
      </w:pPr>
      <w:r>
        <w:rPr>
          <w:rFonts w:ascii="Calibri" w:hAnsi="Calibri"/>
          <w:b/>
          <w:color w:val="3B4259"/>
          <w:sz w:val="28"/>
        </w:rPr>
        <w:t>8. Peer Commentaries &amp; Read-Throughs</w:t>
      </w:r>
    </w:p>
    <w:p>
      <w:r>
        <w:rPr>
          <w:rFonts w:ascii="Calibri" w:hAnsi="Calibri"/>
          <w:b/>
          <w:color w:val="525866"/>
          <w:sz w:val="22"/>
        </w:rPr>
        <w:t xml:space="preserve">Key Takeaway: </w:t>
      </w:r>
      <w:r>
        <w:rPr>
          <w:rFonts w:ascii="Calibri" w:hAnsi="Calibri"/>
          <w:color w:val="525866"/>
          <w:sz w:val="22"/>
        </w:rPr>
        <w:t>Peer commentary from the last 60 days is broadly constructive for TSN’s Chicken and Prepared Foods segments: Pilgrim’s Pride (July 30) confirms resilient chicken demand and a tighter supply outlook for H2, while ConAgra (July 15) and Hormel (June 8) flag persistent inflation and cautious consumers that could pressure Prepared Foods volumes. The USDA’s Mexico cattle import resumption is the most actionable Beef read-through.</w:t>
      </w:r>
    </w:p>
    <w:p>
      <w:r>
        <w:rPr>
          <w:rFonts w:ascii="Calibri" w:hAnsi="Calibri"/>
          <w:b/>
          <w:color w:val="525866"/>
          <w:sz w:val="22"/>
        </w:rPr>
        <w:t>Screening Criteria:</w:t>
      </w:r>
      <w:r>
        <w:rPr>
          <w:rFonts w:ascii="Calibri" w:hAnsi="Calibri"/>
          <w:color w:val="525866"/>
          <w:sz w:val="22"/>
        </w:rPr>
        <w:t xml:space="preserve"> Included below are peer commentaries released between June 3 and August 2, 2026 that speak to current or forward operating conditions relevant to TSN’s fiscal Q3 2026 (quarter ended June 28, 2026) or the forward outlook. Backward-looking commentary about a peer’s completed quarter is excluded unless it explicitly frames current-quarter or forward conditions. Each read-through is classified as </w:t>
      </w:r>
      <w:r>
        <w:rPr>
          <w:rFonts w:ascii="Calibri" w:hAnsi="Calibri"/>
          <w:b/>
          <w:color w:val="525866"/>
          <w:sz w:val="22"/>
        </w:rPr>
        <w:t>Direct</w:t>
      </w:r>
      <w:r>
        <w:rPr>
          <w:rFonts w:ascii="Calibri" w:hAnsi="Calibri"/>
          <w:color w:val="525866"/>
          <w:sz w:val="22"/>
        </w:rPr>
        <w:t xml:space="preserve"> (same protein/segment) or </w:t>
      </w:r>
      <w:r>
        <w:rPr>
          <w:rFonts w:ascii="Calibri" w:hAnsi="Calibri"/>
          <w:b/>
          <w:color w:val="525866"/>
          <w:sz w:val="22"/>
        </w:rPr>
        <w:t>Indirect</w:t>
      </w:r>
      <w:r>
        <w:rPr>
          <w:rFonts w:ascii="Calibri" w:hAnsi="Calibri"/>
          <w:color w:val="525866"/>
          <w:sz w:val="22"/>
        </w:rPr>
        <w:t xml:space="preserve"> (adjacent category, consumer environment, or input costs).</w:t>
      </w:r>
    </w:p>
    <w:p>
      <w:pPr>
        <w:pStyle w:val="Heading3"/>
      </w:pPr>
      <w:r>
        <w:rPr>
          <w:rFonts w:ascii="Calibri" w:hAnsi="Calibri"/>
          <w:b/>
          <w:color w:val="3B4259"/>
          <w:sz w:val="24"/>
        </w:rPr>
        <w:t>8.1 Pilgrim’s Pride (PPC) — Q2 FY2026 Earnings Call, July 30, 2026</w:t>
      </w:r>
    </w:p>
    <w:p>
      <w:r>
        <w:rPr>
          <w:rFonts w:ascii="Calibri" w:hAnsi="Calibri"/>
          <w:b/>
          <w:color w:val="525866"/>
          <w:sz w:val="22"/>
        </w:rPr>
        <w:t xml:space="preserve">Read-Through Type: </w:t>
      </w:r>
      <w:r>
        <w:rPr>
          <w:rFonts w:ascii="Calibri" w:hAnsi="Calibri"/>
          <w:color w:val="525866"/>
          <w:sz w:val="22"/>
        </w:rPr>
        <w:t>Direct (Chicken segment, consumer demand, input costs, exports)</w:t>
      </w:r>
    </w:p>
    <w:p>
      <w:pPr>
        <w:pStyle w:val="ListBullet"/>
        <w:ind w:left="360" w:hanging="360"/>
      </w:pPr>
      <w:r>
        <w:rPr>
          <w:rFonts w:ascii="Calibri" w:hAnsi="Calibri"/>
          <w:b/>
          <w:color w:val="525866"/>
          <w:sz w:val="22"/>
        </w:rPr>
        <w:t>Chicken Supply Tightening in H2 2026 (Direct — Positive for TSN Chicken):</w:t>
      </w:r>
      <w:r>
        <w:rPr>
          <w:rFonts w:ascii="Calibri" w:hAnsi="Calibri"/>
          <w:color w:val="525866"/>
          <w:sz w:val="22"/>
        </w:rPr>
        <w:t xml:space="preserve"> PPC’s CEO Fabio Sandri stated that USDA expects chicken production growth to slow to ~2.5% in H2 2026 (from 3.3% for the full year), which is “more in line with the strong demand that we are seeing for chicken.” Warm weather in July/August is expected to reduce livability and further tighten effective supply. Seasonal production cuts typically begin in late August/September. </w:t>
      </w:r>
      <w:r>
        <w:rPr>
          <w:rFonts w:ascii="Calibri" w:hAnsi="Calibri"/>
          <w:b/>
          <w:color w:val="525866"/>
          <w:sz w:val="22"/>
        </w:rPr>
        <w:t>TSN Implication:</w:t>
      </w:r>
      <w:r>
        <w:rPr>
          <w:rFonts w:ascii="Calibri" w:hAnsi="Calibri"/>
          <w:color w:val="525866"/>
          <w:sz w:val="22"/>
        </w:rPr>
        <w:t xml:space="preserve"> A tighter supply environment in Q3 supports chicken pricing and margins. TSN’s management guided Q3/Q4 Chicken to look “as good as or better than” H1; PPC’s supply commentary is consistent with that confidence.</w:t>
      </w:r>
    </w:p>
    <w:p>
      <w:pPr>
        <w:pStyle w:val="ListBullet"/>
        <w:ind w:left="360" w:hanging="360"/>
      </w:pPr>
      <w:r>
        <w:rPr>
          <w:rFonts w:ascii="Calibri" w:hAnsi="Calibri"/>
          <w:b/>
          <w:color w:val="525866"/>
          <w:sz w:val="22"/>
        </w:rPr>
        <w:t>Chicken Demand Remains Firm Across Channels (Direct — Positive):</w:t>
      </w:r>
      <w:r>
        <w:rPr>
          <w:rFonts w:ascii="Calibri" w:hAnsi="Calibri"/>
          <w:color w:val="525866"/>
          <w:sz w:val="22"/>
        </w:rPr>
        <w:t xml:space="preserve"> PPC noted retail chicken category growth of 2.8%, with prepared/branded products outperforming. Foodservice volumes increased despite traffic concerns, with QSR and non-commercial channels showing the largest growth. Wings demand expected to increase with football/basketball season. </w:t>
      </w:r>
      <w:r>
        <w:rPr>
          <w:rFonts w:ascii="Calibri" w:hAnsi="Calibri"/>
          <w:b/>
          <w:color w:val="525866"/>
          <w:sz w:val="22"/>
        </w:rPr>
        <w:t>TSN Implication:</w:t>
      </w:r>
      <w:r>
        <w:rPr>
          <w:rFonts w:ascii="Calibri" w:hAnsi="Calibri"/>
          <w:color w:val="525866"/>
          <w:sz w:val="22"/>
        </w:rPr>
        <w:t xml:space="preserve"> Directly validates TSN’s branded value-added chicken strategy and foodservice momentum. TSN’s retail and foodservice volumes grew nearly 3x faster than total volume in Q2; PPC’s commentary suggests this trend continued into Q3.</w:t>
      </w:r>
    </w:p>
    <w:p>
      <w:pPr>
        <w:pStyle w:val="ListBullet"/>
        <w:ind w:left="360" w:hanging="360"/>
      </w:pPr>
      <w:r>
        <w:rPr>
          <w:rFonts w:ascii="Calibri" w:hAnsi="Calibri"/>
          <w:b/>
          <w:color w:val="525866"/>
          <w:sz w:val="22"/>
        </w:rPr>
        <w:t>Boneless Breast Pricing Dynamics (Direct — Mixed):</w:t>
      </w:r>
      <w:r>
        <w:rPr>
          <w:rFonts w:ascii="Calibri" w:hAnsi="Calibri"/>
          <w:color w:val="525866"/>
          <w:sz w:val="22"/>
        </w:rPr>
        <w:t xml:space="preserve"> PPC noted that boneless breast pricing remained steady with the spread versus ground beef at record levels. However, Sandri flagged “significant price decreases in boneless breast in retail during Q3” driven by promotional activity, which he expects to stimulate volume. </w:t>
      </w:r>
      <w:r>
        <w:rPr>
          <w:rFonts w:ascii="Calibri" w:hAnsi="Calibri"/>
          <w:b/>
          <w:color w:val="525866"/>
          <w:sz w:val="22"/>
        </w:rPr>
        <w:t>TSN Implication:</w:t>
      </w:r>
      <w:r>
        <w:rPr>
          <w:rFonts w:ascii="Calibri" w:hAnsi="Calibri"/>
          <w:color w:val="525866"/>
          <w:sz w:val="22"/>
        </w:rPr>
        <w:t xml:space="preserve"> Retail boneless breast price pressure in Q3 is a modest headwind for TSN’s chicken revenue per unit, but the volume stimulus effect and the record beef/chicken spread should support overall demand. TSN’s mix shift toward branded value-added products provides some insulation from commodity breast pricing.</w:t>
      </w:r>
    </w:p>
    <w:p>
      <w:pPr>
        <w:pStyle w:val="ListBullet"/>
        <w:ind w:left="360" w:hanging="360"/>
      </w:pPr>
      <w:r>
        <w:rPr>
          <w:rFonts w:ascii="Calibri" w:hAnsi="Calibri"/>
          <w:b/>
          <w:color w:val="525866"/>
          <w:sz w:val="22"/>
        </w:rPr>
        <w:t>China Poultry Export Resumption (Direct — Positive):</w:t>
      </w:r>
      <w:r>
        <w:rPr>
          <w:rFonts w:ascii="Calibri" w:hAnsi="Calibri"/>
          <w:color w:val="525866"/>
          <w:sz w:val="22"/>
        </w:rPr>
        <w:t xml:space="preserve"> China released 17 U.S. states from its avian influenza ban, allowing raw poultry shipments to resume. Further state releases are possible from meetings scheduled later in the year. </w:t>
      </w:r>
      <w:r>
        <w:rPr>
          <w:rFonts w:ascii="Calibri" w:hAnsi="Calibri"/>
          <w:b/>
          <w:color w:val="525866"/>
          <w:sz w:val="22"/>
        </w:rPr>
        <w:t>TSN Implication:</w:t>
      </w:r>
      <w:r>
        <w:rPr>
          <w:rFonts w:ascii="Calibri" w:hAnsi="Calibri"/>
          <w:color w:val="525866"/>
          <w:sz w:val="22"/>
        </w:rPr>
        <w:t xml:space="preserve"> Incremental export demand for U.S. poultry could help absorb domestic supply and support pricing. TSN’s International segment ($150M–$200M FY guidance) could benefit from improved export conditions.</w:t>
      </w:r>
    </w:p>
    <w:p>
      <w:pPr>
        <w:pStyle w:val="ListBullet"/>
        <w:ind w:left="360" w:hanging="360"/>
      </w:pPr>
      <w:r>
        <w:rPr>
          <w:rFonts w:ascii="Calibri" w:hAnsi="Calibri"/>
          <w:b/>
          <w:color w:val="525866"/>
          <w:sz w:val="22"/>
        </w:rPr>
        <w:t>Beef Availability: Limited Growth (Direct — Neutral/Positive for TSN Beef):</w:t>
      </w:r>
      <w:r>
        <w:rPr>
          <w:rFonts w:ascii="Calibri" w:hAnsi="Calibri"/>
          <w:color w:val="525866"/>
          <w:sz w:val="22"/>
        </w:rPr>
        <w:t xml:space="preserve"> USDA expected only a minor increase in beef availability, with higher imports partially offsetting domestic production headwinds. </w:t>
      </w:r>
      <w:r>
        <w:rPr>
          <w:rFonts w:ascii="Calibri" w:hAnsi="Calibri"/>
          <w:b/>
          <w:color w:val="525866"/>
          <w:sz w:val="22"/>
        </w:rPr>
        <w:t>TSN Implication:</w:t>
      </w:r>
      <w:r>
        <w:rPr>
          <w:rFonts w:ascii="Calibri" w:hAnsi="Calibri"/>
          <w:color w:val="525866"/>
          <w:sz w:val="22"/>
        </w:rPr>
        <w:t xml:space="preserve"> Consistent with TSN’s own guidance of tight cattle supply through 2026–2027. The USDA Mexico cattle import resumption (July 27) is the more actionable catalyst.</w:t>
      </w:r>
    </w:p>
    <w:p>
      <w:pPr>
        <w:pStyle w:val="ListBullet"/>
        <w:ind w:left="360" w:hanging="360"/>
      </w:pPr>
      <w:r>
        <w:rPr>
          <w:rFonts w:ascii="Calibri" w:hAnsi="Calibri"/>
          <w:b/>
          <w:color w:val="525866"/>
          <w:sz w:val="22"/>
        </w:rPr>
        <w:t>Feed Cost Outlook (Direct — Watch Item):</w:t>
      </w:r>
      <w:r>
        <w:rPr>
          <w:rFonts w:ascii="Calibri" w:hAnsi="Calibri"/>
          <w:color w:val="525866"/>
          <w:sz w:val="22"/>
        </w:rPr>
        <w:t xml:space="preserve"> PPC flagged potential for higher corn risk premiums due to Middle East conflict and China trade policy uncertainty, with U.S. crop yields and Midwest weather as key near-term drivers. Soy complex shows similar volatility. </w:t>
      </w:r>
      <w:r>
        <w:rPr>
          <w:rFonts w:ascii="Calibri" w:hAnsi="Calibri"/>
          <w:b/>
          <w:color w:val="525866"/>
          <w:sz w:val="22"/>
        </w:rPr>
        <w:t>TSN Implication:</w:t>
      </w:r>
      <w:r>
        <w:rPr>
          <w:rFonts w:ascii="Calibri" w:hAnsi="Calibri"/>
          <w:color w:val="525866"/>
          <w:sz w:val="22"/>
        </w:rPr>
        <w:t xml:space="preserve"> TSN management noted on the Q2 call that feed grains were a tailwind in H1 but “could be a little higher in the second half.” PPC’s commentary confirms this risk is real but not yet a crisis.</w:t>
      </w:r>
    </w:p>
    <w:p>
      <w:pPr>
        <w:pStyle w:val="ListBullet"/>
        <w:ind w:left="360" w:hanging="360"/>
      </w:pPr>
      <w:r>
        <w:rPr>
          <w:rFonts w:ascii="Calibri" w:hAnsi="Calibri"/>
          <w:b/>
          <w:color w:val="525866"/>
          <w:sz w:val="22"/>
        </w:rPr>
        <w:t>Prepared Foods Growth (Direct — Positive):</w:t>
      </w:r>
      <w:r>
        <w:rPr>
          <w:rFonts w:ascii="Calibri" w:hAnsi="Calibri"/>
          <w:color w:val="525866"/>
          <w:sz w:val="22"/>
        </w:rPr>
        <w:t xml:space="preserve"> PPC’s U.S. Prepared Foods volumes grew nearly 14% YoY, with retail sales of its Just BARE brand up 30%+ (6x the category average). PPC is investing in its Walker County facility to reduce co-packer exposure and improve margins. </w:t>
      </w:r>
      <w:r>
        <w:rPr>
          <w:rFonts w:ascii="Calibri" w:hAnsi="Calibri"/>
          <w:b/>
          <w:color w:val="525866"/>
          <w:sz w:val="22"/>
        </w:rPr>
        <w:t>TSN Implication:</w:t>
      </w:r>
      <w:r>
        <w:rPr>
          <w:rFonts w:ascii="Calibri" w:hAnsi="Calibri"/>
          <w:color w:val="525866"/>
          <w:sz w:val="22"/>
        </w:rPr>
        <w:t xml:space="preserve"> Strong industry-wide prepared foods demand validates TSN’s Prepared Foods strategy. TSN’s Q2 Prepared Foods margin of 14.0% is already at the high end of the industry; PPC’s growth confirms the category tailwind.</w:t>
      </w:r>
    </w:p>
    <w:p>
      <w:pPr>
        <w:pStyle w:val="Heading3"/>
      </w:pPr>
      <w:r>
        <w:rPr>
          <w:rFonts w:ascii="Calibri" w:hAnsi="Calibri"/>
          <w:b/>
          <w:color w:val="3B4259"/>
          <w:sz w:val="24"/>
        </w:rPr>
        <w:t>8.2 ConAgra Brands (CAG) — Q4 FY2026 Earnings Call, July 15, 2026</w:t>
      </w:r>
    </w:p>
    <w:p>
      <w:r>
        <w:rPr>
          <w:rFonts w:ascii="Calibri" w:hAnsi="Calibri"/>
          <w:b/>
          <w:color w:val="525866"/>
          <w:sz w:val="22"/>
        </w:rPr>
        <w:t xml:space="preserve">Read-Through Type: </w:t>
      </w:r>
      <w:r>
        <w:rPr>
          <w:rFonts w:ascii="Calibri" w:hAnsi="Calibri"/>
          <w:color w:val="525866"/>
          <w:sz w:val="22"/>
        </w:rPr>
        <w:t>Indirect (Prepared Foods, consumer demand, inflation, input costs)</w:t>
      </w:r>
    </w:p>
    <w:p>
      <w:r>
        <w:rPr>
          <w:rFonts w:ascii="Calibri" w:hAnsi="Calibri"/>
          <w:i/>
          <w:color w:val="525866"/>
          <w:sz w:val="22"/>
        </w:rPr>
        <w:t>Note on Scope:</w:t>
      </w:r>
      <w:r>
        <w:rPr>
          <w:rFonts w:ascii="Calibri" w:hAnsi="Calibri"/>
          <w:color w:val="525866"/>
          <w:sz w:val="22"/>
        </w:rPr>
        <w:t xml:space="preserve"> CAG’s Q4 FY2026 (ended May 2026) is a completed quarter. The commentary included below is limited to CAG’s forward-looking statements about FY2027 conditions and the current consumer/cost environment, which are directly relevant to TSN’s Q3 FY2026 (April–June 2026) and forward outlook. Backward-looking Q4 FY2026 results are excluded.</w:t>
      </w:r>
    </w:p>
    <w:p>
      <w:pPr>
        <w:pStyle w:val="ListBullet"/>
        <w:ind w:left="360" w:hanging="360"/>
      </w:pPr>
      <w:r>
        <w:rPr>
          <w:rFonts w:ascii="Calibri" w:hAnsi="Calibri"/>
          <w:b/>
          <w:color w:val="525866"/>
          <w:sz w:val="22"/>
        </w:rPr>
        <w:t>Persistent Inflation at 5–6% Exceeding Productivity (Indirect — Headwind):</w:t>
      </w:r>
      <w:r>
        <w:rPr>
          <w:rFonts w:ascii="Calibri" w:hAnsi="Calibri"/>
          <w:color w:val="525866"/>
          <w:sz w:val="22"/>
        </w:rPr>
        <w:t xml:space="preserve"> CAG’s CEO John Bracey flagged inflation of 5–6% in FY2027 versus productivity gains above 4%, meaning “inflation exceeding productivity” remains a pressure point. The company plans to use “inflation-justified pricing where necessary.” </w:t>
      </w:r>
      <w:r>
        <w:rPr>
          <w:rFonts w:ascii="Calibri" w:hAnsi="Calibri"/>
          <w:b/>
          <w:color w:val="525866"/>
          <w:sz w:val="22"/>
        </w:rPr>
        <w:t>TSN Implication:</w:t>
      </w:r>
      <w:r>
        <w:rPr>
          <w:rFonts w:ascii="Calibri" w:hAnsi="Calibri"/>
          <w:color w:val="525866"/>
          <w:sz w:val="22"/>
        </w:rPr>
        <w:t xml:space="preserve"> TSN’s Prepared Foods segment faces similar input cost dynamics (commodity costs were up $150M YTD through Q2). If CAG is seeing 5–6% inflation, TSN’s Prepared Foods margins could face pressure in Q3 unless pricing and mix improvements offset it. TSN’s Q2 Prepared Foods margin of 14.0% is a high bar to maintain.</w:t>
      </w:r>
    </w:p>
    <w:p>
      <w:pPr>
        <w:pStyle w:val="ListBullet"/>
        <w:ind w:left="360" w:hanging="360"/>
      </w:pPr>
      <w:r>
        <w:rPr>
          <w:rFonts w:ascii="Calibri" w:hAnsi="Calibri"/>
          <w:b/>
          <w:color w:val="525866"/>
          <w:sz w:val="22"/>
        </w:rPr>
        <w:t>Consumer Volume Elasticities Higher Than Historical (Indirect — Headwind):</w:t>
      </w:r>
      <w:r>
        <w:rPr>
          <w:rFonts w:ascii="Calibri" w:hAnsi="Calibri"/>
          <w:color w:val="525866"/>
          <w:sz w:val="22"/>
        </w:rPr>
        <w:t xml:space="preserve"> CAG guided to volumes “down mid-single digits” for FY2027, weighted toward frozen, with elasticities “higher than historical standards.” CEO Bracey acknowledged being “out of balance between volume and margin” and prioritizing structural margin recovery over volume. </w:t>
      </w:r>
      <w:r>
        <w:rPr>
          <w:rFonts w:ascii="Calibri" w:hAnsi="Calibri"/>
          <w:b/>
          <w:color w:val="525866"/>
          <w:sz w:val="22"/>
        </w:rPr>
        <w:t>TSN Implication:</w:t>
      </w:r>
      <w:r>
        <w:rPr>
          <w:rFonts w:ascii="Calibri" w:hAnsi="Calibri"/>
          <w:color w:val="525866"/>
          <w:sz w:val="22"/>
        </w:rPr>
        <w:t xml:space="preserve"> TSN’s Prepared Foods segment has been gaining volume share (up 70bps in Q2), which is a notable divergence from CAG’s experience. However, if consumer price sensitivity intensifies, TSN’s branded portfolio could face similar volume headwinds in Q3 and beyond.</w:t>
      </w:r>
    </w:p>
    <w:p>
      <w:pPr>
        <w:pStyle w:val="ListBullet"/>
        <w:ind w:left="360" w:hanging="360"/>
      </w:pPr>
      <w:r>
        <w:rPr>
          <w:rFonts w:ascii="Calibri" w:hAnsi="Calibri"/>
          <w:b/>
          <w:color w:val="525866"/>
          <w:sz w:val="22"/>
        </w:rPr>
        <w:t>Protein and Frozen as Growth Categories (Indirect — Positive):</w:t>
      </w:r>
      <w:r>
        <w:rPr>
          <w:rFonts w:ascii="Calibri" w:hAnsi="Calibri"/>
          <w:color w:val="525866"/>
          <w:sz w:val="22"/>
        </w:rPr>
        <w:t xml:space="preserve"> CAG’s CEO identified frozen and permissible snacking (including meat snacks) as “growth categories” with “strong competitive advantage.” CAG is investing $100M+ in CapEx for fried chicken insourcing, reflecting “belief in protein.” </w:t>
      </w:r>
      <w:r>
        <w:rPr>
          <w:rFonts w:ascii="Calibri" w:hAnsi="Calibri"/>
          <w:b/>
          <w:color w:val="525866"/>
          <w:sz w:val="22"/>
        </w:rPr>
        <w:t>TSN Implication:</w:t>
      </w:r>
      <w:r>
        <w:rPr>
          <w:rFonts w:ascii="Calibri" w:hAnsi="Calibri"/>
          <w:color w:val="525866"/>
          <w:sz w:val="22"/>
        </w:rPr>
        <w:t xml:space="preserve"> Industry-wide conviction in protein and frozen categories validates TSN’s Prepared Foods and Chicken strategies. CAG’s fried chicken investment is a competitive signal but also confirms the category’s attractiveness.</w:t>
      </w:r>
    </w:p>
    <w:p>
      <w:pPr>
        <w:pStyle w:val="ListBullet"/>
        <w:ind w:left="360" w:hanging="360"/>
      </w:pPr>
      <w:r>
        <w:rPr>
          <w:rFonts w:ascii="Calibri" w:hAnsi="Calibri"/>
          <w:b/>
          <w:color w:val="525866"/>
          <w:sz w:val="22"/>
        </w:rPr>
        <w:t>Q1 FY2027 Operating Margin Headwinds (Indirect — Watch Item):</w:t>
      </w:r>
      <w:r>
        <w:rPr>
          <w:rFonts w:ascii="Calibri" w:hAnsi="Calibri"/>
          <w:color w:val="525866"/>
          <w:sz w:val="22"/>
        </w:rPr>
        <w:t xml:space="preserve"> CAG guided Q1 FY2027 operating margin to “high single digits,” impacted by inflation flowing through the P&amp;L, a $40M tariff wrap overindexed to Q1, and increased A&amp;P spending. </w:t>
      </w:r>
      <w:r>
        <w:rPr>
          <w:rFonts w:ascii="Calibri" w:hAnsi="Calibri"/>
          <w:b/>
          <w:color w:val="525866"/>
          <w:sz w:val="22"/>
        </w:rPr>
        <w:t>TSN Implication:</w:t>
      </w:r>
      <w:r>
        <w:rPr>
          <w:rFonts w:ascii="Calibri" w:hAnsi="Calibri"/>
          <w:color w:val="525866"/>
          <w:sz w:val="22"/>
        </w:rPr>
        <w:t xml:space="preserve"> TSN’s Q4 FY2026 (July–September 2026) could face similar tariff and inflation headwinds. Management’s Q2 call flagged freight, diesel, resin, and packaging cost increases — CAG’s commentary confirms these are industry-wide, not TSN-specific.</w:t>
      </w:r>
    </w:p>
    <w:p>
      <w:pPr>
        <w:pStyle w:val="Heading3"/>
      </w:pPr>
      <w:r>
        <w:rPr>
          <w:rFonts w:ascii="Calibri" w:hAnsi="Calibri"/>
          <w:b/>
          <w:color w:val="3B4259"/>
          <w:sz w:val="24"/>
        </w:rPr>
        <w:t>8.3 Hormel Foods (HRL) — Oppenheimer Consumer Growth &amp; E-Commerce Conference, June 8, 2026</w:t>
      </w:r>
    </w:p>
    <w:p>
      <w:r>
        <w:rPr>
          <w:rFonts w:ascii="Calibri" w:hAnsi="Calibri"/>
          <w:b/>
          <w:color w:val="525866"/>
          <w:sz w:val="22"/>
        </w:rPr>
        <w:t xml:space="preserve">Read-Through Type: </w:t>
      </w:r>
      <w:r>
        <w:rPr>
          <w:rFonts w:ascii="Calibri" w:hAnsi="Calibri"/>
          <w:color w:val="525866"/>
          <w:sz w:val="22"/>
        </w:rPr>
        <w:t>Indirect (Consumer demand, protein trends, foodservice, input costs, retail dynamics)</w:t>
      </w:r>
    </w:p>
    <w:p>
      <w:pPr>
        <w:pStyle w:val="ListBullet"/>
        <w:ind w:left="360" w:hanging="360"/>
      </w:pPr>
      <w:r>
        <w:rPr>
          <w:rFonts w:ascii="Calibri" w:hAnsi="Calibri"/>
          <w:b/>
          <w:color w:val="525866"/>
          <w:sz w:val="22"/>
        </w:rPr>
        <w:t>Consumer Strain from Cumulative Inflation (Indirect — Headwind):</w:t>
      </w:r>
      <w:r>
        <w:rPr>
          <w:rFonts w:ascii="Calibri" w:hAnsi="Calibri"/>
          <w:color w:val="525866"/>
          <w:sz w:val="22"/>
        </w:rPr>
        <w:t xml:space="preserve"> HRL President John Ghingo characterized the consumer as “strained” from “cumulative effects of inflation” over several years, compounded by recent fuel/gas price spikes. Consumers are “deliberate and looking for value.” However, “demand in general in food has been resilient, particularly in protein.” </w:t>
      </w:r>
      <w:r>
        <w:rPr>
          <w:rFonts w:ascii="Calibri" w:hAnsi="Calibri"/>
          <w:b/>
          <w:color w:val="525866"/>
          <w:sz w:val="22"/>
        </w:rPr>
        <w:t>TSN Implication:</w:t>
      </w:r>
      <w:r>
        <w:rPr>
          <w:rFonts w:ascii="Calibri" w:hAnsi="Calibri"/>
          <w:color w:val="525866"/>
          <w:sz w:val="22"/>
        </w:rPr>
        <w:t xml:space="preserve"> Consistent with TSN’s own Q2 commentary that consumer confidence fell to a record low. Protein’s resilience is a structural tailwind for TSN’s entire portfolio, but the value-seeking behavior means branded premium products must justify their price premium.</w:t>
      </w:r>
    </w:p>
    <w:p>
      <w:pPr>
        <w:pStyle w:val="ListBullet"/>
        <w:ind w:left="360" w:hanging="360"/>
      </w:pPr>
      <w:r>
        <w:rPr>
          <w:rFonts w:ascii="Calibri" w:hAnsi="Calibri"/>
          <w:b/>
          <w:color w:val="525866"/>
          <w:sz w:val="22"/>
        </w:rPr>
        <w:t>Beef and Pork Input Costs at 5-Year Highs (Direct — Headwind):</w:t>
      </w:r>
      <w:r>
        <w:rPr>
          <w:rFonts w:ascii="Calibri" w:hAnsi="Calibri"/>
          <w:color w:val="525866"/>
          <w:sz w:val="22"/>
        </w:rPr>
        <w:t xml:space="preserve"> HRL’s Interim CFO Paul Kuehneman stated: “beef and even pork it’s at a 5-year or close to the 5-year high averages.” Freight and fuel costs are also elevated. </w:t>
      </w:r>
      <w:r>
        <w:rPr>
          <w:rFonts w:ascii="Calibri" w:hAnsi="Calibri"/>
          <w:b/>
          <w:color w:val="525866"/>
          <w:sz w:val="22"/>
        </w:rPr>
        <w:t>TSN Implication:</w:t>
      </w:r>
      <w:r>
        <w:rPr>
          <w:rFonts w:ascii="Calibri" w:hAnsi="Calibri"/>
          <w:color w:val="525866"/>
          <w:sz w:val="22"/>
        </w:rPr>
        <w:t xml:space="preserve"> This is a direct read-through for TSN’s Beef and Pork segments. High cattle costs are the primary driver of TSN’s Beef losses; HRL’s commentary confirms the input cost environment remains challenging as of early June 2026, consistent with TSN’s guidance.</w:t>
      </w:r>
    </w:p>
    <w:p>
      <w:pPr>
        <w:pStyle w:val="ListBullet"/>
        <w:ind w:left="360" w:hanging="360"/>
      </w:pPr>
      <w:r>
        <w:rPr>
          <w:rFonts w:ascii="Calibri" w:hAnsi="Calibri"/>
          <w:b/>
          <w:color w:val="525866"/>
          <w:sz w:val="22"/>
        </w:rPr>
        <w:t>Foodservice Traffic Slow; Operators Focused on Labor and Menu Pricing (Indirect — Mixed):</w:t>
      </w:r>
      <w:r>
        <w:rPr>
          <w:rFonts w:ascii="Calibri" w:hAnsi="Calibri"/>
          <w:color w:val="525866"/>
          <w:sz w:val="22"/>
        </w:rPr>
        <w:t xml:space="preserve"> HRL noted foodservice traffic is “generally slow across the board,” with operators trying to control menu prices and differentiate menus. Despite this, HRL’s foodservice organic sales grew 7% for 11 consecutive quarters by focusing on operator pain points (labor reduction, menu differentiation). </w:t>
      </w:r>
      <w:r>
        <w:rPr>
          <w:rFonts w:ascii="Calibri" w:hAnsi="Calibri"/>
          <w:b/>
          <w:color w:val="525866"/>
          <w:sz w:val="22"/>
        </w:rPr>
        <w:t>TSN Implication:</w:t>
      </w:r>
      <w:r>
        <w:rPr>
          <w:rFonts w:ascii="Calibri" w:hAnsi="Calibri"/>
          <w:color w:val="525866"/>
          <w:sz w:val="22"/>
        </w:rPr>
        <w:t xml:space="preserve"> TSN’s foodservice chicken volumes grew nearly 3x faster than total volume in Q2. HRL’s experience suggests that strategic operator engagement can drive growth even in a slow-traffic environment. The slow traffic environment is a watch item for TSN’s foodservice volumes in Q3.</w:t>
      </w:r>
    </w:p>
    <w:p>
      <w:pPr>
        <w:pStyle w:val="ListBullet"/>
        <w:ind w:left="360" w:hanging="360"/>
      </w:pPr>
      <w:r>
        <w:rPr>
          <w:rFonts w:ascii="Calibri" w:hAnsi="Calibri"/>
          <w:b/>
          <w:color w:val="525866"/>
          <w:sz w:val="22"/>
        </w:rPr>
        <w:t>Pricing Actions Suppressing Retail Volumes (Indirect — Watch Item):</w:t>
      </w:r>
      <w:r>
        <w:rPr>
          <w:rFonts w:ascii="Calibri" w:hAnsi="Calibri"/>
          <w:color w:val="525866"/>
          <w:sz w:val="22"/>
        </w:rPr>
        <w:t xml:space="preserve"> HRL implemented “multiple waves of pricing actions” in retail that “expectedly suppressed volumes.” The back half of the year is expected to be “noisy” for retail volumes. However, pricing actions “helped recover margins on retail.” </w:t>
      </w:r>
      <w:r>
        <w:rPr>
          <w:rFonts w:ascii="Calibri" w:hAnsi="Calibri"/>
          <w:b/>
          <w:color w:val="525866"/>
          <w:sz w:val="22"/>
        </w:rPr>
        <w:t>TSN Implication:</w:t>
      </w:r>
      <w:r>
        <w:rPr>
          <w:rFonts w:ascii="Calibri" w:hAnsi="Calibri"/>
          <w:color w:val="525866"/>
          <w:sz w:val="22"/>
        </w:rPr>
        <w:t xml:space="preserve"> TSN’s Prepared Foods gained volume share in Q2 despite the pricing environment — a positive divergence from HRL’s experience. If TSN needs to implement pricing actions in Q3, HRL’s experience suggests a volume/margin trade-off is likely.</w:t>
      </w:r>
    </w:p>
    <w:p>
      <w:pPr>
        <w:pStyle w:val="ListBullet"/>
        <w:ind w:left="360" w:hanging="360"/>
      </w:pPr>
      <w:r>
        <w:rPr>
          <w:rFonts w:ascii="Calibri" w:hAnsi="Calibri"/>
          <w:b/>
          <w:color w:val="525866"/>
          <w:sz w:val="22"/>
        </w:rPr>
        <w:t>GLP-1 Adoption Driving Protein Demand (Indirect — Positive):</w:t>
      </w:r>
      <w:r>
        <w:rPr>
          <w:rFonts w:ascii="Calibri" w:hAnsi="Calibri"/>
          <w:color w:val="525866"/>
          <w:sz w:val="22"/>
        </w:rPr>
        <w:t xml:space="preserve"> HRL’s CEO noted that “GLP-1 is one of the drivers” of changing consumer expectations, with GLP-1 users “looking for protein and fiber.” Morning protein demand is growing, with consumers seeking “more protein, more substance in morning foods.” </w:t>
      </w:r>
      <w:r>
        <w:rPr>
          <w:rFonts w:ascii="Calibri" w:hAnsi="Calibri"/>
          <w:b/>
          <w:color w:val="525866"/>
          <w:sz w:val="22"/>
        </w:rPr>
        <w:t>TSN Implication:</w:t>
      </w:r>
      <w:r>
        <w:rPr>
          <w:rFonts w:ascii="Calibri" w:hAnsi="Calibri"/>
          <w:color w:val="525866"/>
          <w:sz w:val="22"/>
        </w:rPr>
        <w:t xml:space="preserve"> Directly validates TSN’s Jimmy Dean protein breakfast platform launch, which management called “off to a phenomenal start” on the Q2 call. GLP-1 tailwinds are a structural positive for TSN’s entire protein portfolio.</w:t>
      </w:r>
    </w:p>
    <w:p>
      <w:pPr>
        <w:pStyle w:val="ListBullet"/>
        <w:ind w:left="360" w:hanging="360"/>
      </w:pPr>
      <w:r>
        <w:rPr>
          <w:rFonts w:ascii="Calibri" w:hAnsi="Calibri"/>
          <w:b/>
          <w:color w:val="525866"/>
          <w:sz w:val="22"/>
        </w:rPr>
        <w:t>Hormel Divesting Whole-Bird Turkey (Indirect — Neutral):</w:t>
      </w:r>
      <w:r>
        <w:rPr>
          <w:rFonts w:ascii="Calibri" w:hAnsi="Calibri"/>
          <w:color w:val="525866"/>
          <w:sz w:val="22"/>
        </w:rPr>
        <w:t xml:space="preserve"> HRL is divesting its whole-bird turkey business, citing volatility, commodity nature, and flat-to-declining demand. </w:t>
      </w:r>
      <w:r>
        <w:rPr>
          <w:rFonts w:ascii="Calibri" w:hAnsi="Calibri"/>
          <w:b/>
          <w:color w:val="525866"/>
          <w:sz w:val="22"/>
        </w:rPr>
        <w:t>TSN Implication:</w:t>
      </w:r>
      <w:r>
        <w:rPr>
          <w:rFonts w:ascii="Calibri" w:hAnsi="Calibri"/>
          <w:color w:val="525866"/>
          <w:sz w:val="22"/>
        </w:rPr>
        <w:t xml:space="preserve"> Reinforces the industry trend away from commodity proteins toward value-added products — consistent with TSN’s own strategic direction.</w:t>
      </w:r>
    </w:p>
    <w:p>
      <w:pPr>
        <w:pStyle w:val="Heading3"/>
      </w:pPr>
      <w:r>
        <w:rPr>
          <w:rFonts w:ascii="Calibri" w:hAnsi="Calibri"/>
          <w:b/>
          <w:color w:val="3B4259"/>
          <w:sz w:val="24"/>
        </w:rPr>
        <w:t>8.4 Cal-Maine Foods (CALM) — Q4 FY2026 Earnings Call, July 22, 2026</w:t>
      </w:r>
    </w:p>
    <w:p>
      <w:r>
        <w:rPr>
          <w:rFonts w:ascii="Calibri" w:hAnsi="Calibri"/>
          <w:b/>
          <w:color w:val="525866"/>
          <w:sz w:val="22"/>
        </w:rPr>
        <w:t xml:space="preserve">Read-Through Type: </w:t>
      </w:r>
      <w:r>
        <w:rPr>
          <w:rFonts w:ascii="Calibri" w:hAnsi="Calibri"/>
          <w:color w:val="525866"/>
          <w:sz w:val="22"/>
        </w:rPr>
        <w:t>Indirect (Protein demand, HPAI risk, supply dynamics, prepared foods)</w:t>
      </w:r>
    </w:p>
    <w:p>
      <w:r>
        <w:rPr>
          <w:rFonts w:ascii="Calibri" w:hAnsi="Calibri"/>
          <w:i/>
          <w:color w:val="525866"/>
          <w:sz w:val="22"/>
        </w:rPr>
        <w:t>Note on Scope:</w:t>
      </w:r>
      <w:r>
        <w:rPr>
          <w:rFonts w:ascii="Calibri" w:hAnsi="Calibri"/>
          <w:color w:val="525866"/>
          <w:sz w:val="22"/>
        </w:rPr>
        <w:t xml:space="preserve"> CALM’s Q4 FY2026 ended May 2026. Commentary about CALM’s own egg pricing in that completed quarter is excluded. Included below is CALM’s forward-looking commentary about conditions in June–August 2026 (overlapping TSN’s Q3 FY2026) and the broader protein demand environment.</w:t>
      </w:r>
    </w:p>
    <w:p>
      <w:pPr>
        <w:pStyle w:val="ListBullet"/>
        <w:ind w:left="360" w:hanging="360"/>
      </w:pPr>
      <w:r>
        <w:rPr>
          <w:rFonts w:ascii="Calibri" w:hAnsi="Calibri"/>
          <w:b/>
          <w:color w:val="525866"/>
          <w:sz w:val="22"/>
        </w:rPr>
        <w:t>Commodity Protein Pricing Trough in June–July 2026, Then Recovery (Indirect — Mixed then Positive):</w:t>
      </w:r>
      <w:r>
        <w:rPr>
          <w:rFonts w:ascii="Calibri" w:hAnsi="Calibri"/>
          <w:color w:val="525866"/>
          <w:sz w:val="22"/>
        </w:rPr>
        <w:t xml:space="preserve"> CALM’s CEO Sherman Miller noted that during the first five weeks of its Q1 FY2027 (June–August 2026), egg market prices averaged just $0.72 — 54% below Q4 levels — reflecting a seasonal trough. However, “more recently, pricing has strengthened, increasing by more than 90% in only a few weeks.” Early indications point to “improving supply-demand balance” heading into fall. </w:t>
      </w:r>
      <w:r>
        <w:rPr>
          <w:rFonts w:ascii="Calibri" w:hAnsi="Calibri"/>
          <w:b/>
          <w:color w:val="525866"/>
          <w:sz w:val="22"/>
        </w:rPr>
        <w:t>TSN Implication:</w:t>
      </w:r>
      <w:r>
        <w:rPr>
          <w:rFonts w:ascii="Calibri" w:hAnsi="Calibri"/>
          <w:color w:val="525866"/>
          <w:sz w:val="22"/>
        </w:rPr>
        <w:t xml:space="preserve"> The June–July commodity protein pricing trough is consistent with TSN’s Q3 FY2026 period. The rapid pricing recovery in late July/early August is a positive signal for TSN’s commodity chicken pricing in Q4 FY2026. The seasonal trough may have pressured TSN’s Q3 Chicken margins modestly, but the recovery trajectory is encouraging.</w:t>
      </w:r>
    </w:p>
    <w:p>
      <w:pPr>
        <w:pStyle w:val="ListBullet"/>
        <w:ind w:left="360" w:hanging="360"/>
      </w:pPr>
      <w:r>
        <w:rPr>
          <w:rFonts w:ascii="Calibri" w:hAnsi="Calibri"/>
          <w:b/>
          <w:color w:val="525866"/>
          <w:sz w:val="22"/>
        </w:rPr>
        <w:t>GLP-1 Adoption Reinforcing Protein Demand (Indirect — Positive):</w:t>
      </w:r>
      <w:r>
        <w:rPr>
          <w:rFonts w:ascii="Calibri" w:hAnsi="Calibri"/>
          <w:color w:val="525866"/>
          <w:sz w:val="22"/>
        </w:rPr>
        <w:t xml:space="preserve"> CALM noted that ~22% of U.S. households now include a GLP-1 user, “reinforcing demand for protein-dense foods.” USDA projects per capita egg consumption to increase in both 2026 and 2027. Foodservice demand remains robust. </w:t>
      </w:r>
      <w:r>
        <w:rPr>
          <w:rFonts w:ascii="Calibri" w:hAnsi="Calibri"/>
          <w:b/>
          <w:color w:val="525866"/>
          <w:sz w:val="22"/>
        </w:rPr>
        <w:t>TSN Implication:</w:t>
      </w:r>
      <w:r>
        <w:rPr>
          <w:rFonts w:ascii="Calibri" w:hAnsi="Calibri"/>
          <w:color w:val="525866"/>
          <w:sz w:val="22"/>
        </w:rPr>
        <w:t xml:space="preserve"> Consistent with HRL’s commentary; GLP-1 adoption is a structural tailwind for all protein categories including TSN’s chicken, beef, pork, and prepared foods.</w:t>
      </w:r>
    </w:p>
    <w:p>
      <w:pPr>
        <w:pStyle w:val="ListBullet"/>
        <w:ind w:left="360" w:hanging="360"/>
      </w:pPr>
      <w:r>
        <w:rPr>
          <w:rFonts w:ascii="Calibri" w:hAnsi="Calibri"/>
          <w:b/>
          <w:color w:val="525866"/>
          <w:sz w:val="22"/>
        </w:rPr>
        <w:t>HPAI Remains a Real and Ongoing Threat (Direct — Risk):</w:t>
      </w:r>
      <w:r>
        <w:rPr>
          <w:rFonts w:ascii="Calibri" w:hAnsi="Calibri"/>
          <w:color w:val="525866"/>
          <w:sz w:val="22"/>
        </w:rPr>
        <w:t xml:space="preserve"> CALM’s CEO stated that HPAI “is not gone” with recent outbreaks in the U.S., dairy herd, Australia, and South Korea. “We should not consider this a problem of the past.” </w:t>
      </w:r>
      <w:r>
        <w:rPr>
          <w:rFonts w:ascii="Calibri" w:hAnsi="Calibri"/>
          <w:b/>
          <w:color w:val="525866"/>
          <w:sz w:val="22"/>
        </w:rPr>
        <w:t>TSN Implication:</w:t>
      </w:r>
      <w:r>
        <w:rPr>
          <w:rFonts w:ascii="Calibri" w:hAnsi="Calibri"/>
          <w:color w:val="525866"/>
          <w:sz w:val="22"/>
        </w:rPr>
        <w:t xml:space="preserve"> HPAI is a tail risk for TSN’s Chicken segment. TSN management noted no disease interruptions as of the Q2 call, but CALM’s commentary confirms the risk remains elevated. Any material outbreak could disrupt TSN’s supply chain and operations.</w:t>
      </w:r>
    </w:p>
    <w:p>
      <w:pPr>
        <w:pStyle w:val="ListBullet"/>
        <w:ind w:left="360" w:hanging="360"/>
      </w:pPr>
      <w:r>
        <w:rPr>
          <w:rFonts w:ascii="Calibri" w:hAnsi="Calibri"/>
          <w:b/>
          <w:color w:val="525866"/>
          <w:sz w:val="22"/>
        </w:rPr>
        <w:t>Supply Moderation Signals (Indirect — Positive for Pricing):</w:t>
      </w:r>
      <w:r>
        <w:rPr>
          <w:rFonts w:ascii="Calibri" w:hAnsi="Calibri"/>
          <w:color w:val="525866"/>
          <w:sz w:val="22"/>
        </w:rPr>
        <w:t xml:space="preserve"> CALM cited “slowing breeder activity, increased chick cancellations, softer hatchery demand” as evidence that flock growth is moderating, suggesting supply may tighten in coming quarters. </w:t>
      </w:r>
      <w:r>
        <w:rPr>
          <w:rFonts w:ascii="Calibri" w:hAnsi="Calibri"/>
          <w:b/>
          <w:color w:val="525866"/>
          <w:sz w:val="22"/>
        </w:rPr>
        <w:t>TSN Implication:</w:t>
      </w:r>
      <w:r>
        <w:rPr>
          <w:rFonts w:ascii="Calibri" w:hAnsi="Calibri"/>
          <w:color w:val="525866"/>
          <w:sz w:val="22"/>
        </w:rPr>
        <w:t xml:space="preserve"> Applies broadly to poultry supply dynamics. A moderating supply environment supports TSN’s chicken pricing outlook for Q4 FY2026 and FY2027.</w:t>
      </w:r>
    </w:p>
    <w:p>
      <w:pPr>
        <w:pStyle w:val="ListBullet"/>
        <w:ind w:left="360" w:hanging="360"/>
      </w:pPr>
      <w:r>
        <w:rPr>
          <w:rFonts w:ascii="Calibri" w:hAnsi="Calibri"/>
          <w:b/>
          <w:color w:val="525866"/>
          <w:sz w:val="22"/>
        </w:rPr>
        <w:t>Prepared Foods Expansion (Indirect — Competitive Watch):</w:t>
      </w:r>
      <w:r>
        <w:rPr>
          <w:rFonts w:ascii="Calibri" w:hAnsi="Calibri"/>
          <w:color w:val="525866"/>
          <w:sz w:val="22"/>
        </w:rPr>
        <w:t xml:space="preserve"> CALM announced a $54M investment to expand prepared foods capacity by 30%, with total capacity increasing 60%+ by H1 FY2028. CALM’s prepared foods target a $9–10B total addressable market in egg-based ready-to-heat/eat products. </w:t>
      </w:r>
      <w:r>
        <w:rPr>
          <w:rFonts w:ascii="Calibri" w:hAnsi="Calibri"/>
          <w:b/>
          <w:color w:val="525866"/>
          <w:sz w:val="22"/>
        </w:rPr>
        <w:t>TSN Implication:</w:t>
      </w:r>
      <w:r>
        <w:rPr>
          <w:rFonts w:ascii="Calibri" w:hAnsi="Calibri"/>
          <w:color w:val="525866"/>
          <w:sz w:val="22"/>
        </w:rPr>
        <w:t xml:space="preserve"> CALM’s expansion into prepared foods (egg bites, patties, omelets, pancakes) is a competitive signal in the broader breakfast protein category where TSN’s Jimmy Dean brand competes. Not an immediate threat but a long-term watch item.</w:t>
      </w:r>
    </w:p>
    <w:p>
      <w:pPr>
        <w:pStyle w:val="Heading3"/>
      </w:pPr>
      <w:r>
        <w:rPr>
          <w:rFonts w:ascii="Calibri" w:hAnsi="Calibri"/>
          <w:b/>
          <w:color w:val="3B4259"/>
          <w:sz w:val="24"/>
        </w:rPr>
        <w:t>8.5 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Type</w:t>
            </w:r>
          </w:p>
        </w:tc>
        <w:tc>
          <w:tcPr>
            <w:tcW w:type="dxa" w:w="1728"/>
            <w:shd w:val="clear" w:color="auto" w:fill="3B4259"/>
          </w:tcPr>
          <w:p>
            <w:r>
              <w:rPr>
                <w:rFonts w:ascii="Calibri" w:hAnsi="Calibri"/>
                <w:b/>
                <w:color w:val="FFFFFF"/>
                <w:sz w:val="22"/>
              </w:rPr>
              <w:t>Key Read-Through for TSN</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PPC</w:t>
            </w:r>
          </w:p>
        </w:tc>
        <w:tc>
          <w:tcPr>
            <w:tcW w:type="dxa" w:w="1728"/>
          </w:tcPr>
          <w:p>
            <w:r>
              <w:rPr>
                <w:rFonts w:ascii="Calibri" w:hAnsi="Calibri"/>
                <w:sz w:val="22"/>
              </w:rPr>
              <w:t>Jul 30</w:t>
            </w:r>
          </w:p>
        </w:tc>
        <w:tc>
          <w:tcPr>
            <w:tcW w:type="dxa" w:w="1728"/>
          </w:tcPr>
          <w:p>
            <w:r>
              <w:rPr>
                <w:rFonts w:ascii="Calibri" w:hAnsi="Calibri"/>
                <w:sz w:val="22"/>
              </w:rPr>
              <w:t>Direct</w:t>
            </w:r>
          </w:p>
        </w:tc>
        <w:tc>
          <w:tcPr>
            <w:tcW w:type="dxa" w:w="1728"/>
          </w:tcPr>
          <w:p>
            <w:r>
              <w:rPr>
                <w:rFonts w:ascii="Calibri" w:hAnsi="Calibri"/>
                <w:sz w:val="22"/>
              </w:rPr>
              <w:t>Chicken supply tightening in H2; demand firm; China export resumption; wings demand seasonal uplift</w:t>
            </w:r>
          </w:p>
        </w:tc>
        <w:tc>
          <w:tcPr>
            <w:tcW w:type="dxa" w:w="1728"/>
          </w:tcPr>
          <w:p>
            <w:r>
              <w:rPr>
                <w:rFonts w:ascii="Calibri" w:hAnsi="Calibri"/>
                <w:b/>
                <w:color w:val="30A46C"/>
                <w:sz w:val="22"/>
              </w:rPr>
              <w:t>Positive</w:t>
            </w:r>
          </w:p>
        </w:tc>
      </w:tr>
      <w:tr>
        <w:tc>
          <w:tcPr>
            <w:tcW w:type="dxa" w:w="1728"/>
          </w:tcPr>
          <w:p>
            <w:r>
              <w:rPr>
                <w:rFonts w:ascii="Calibri" w:hAnsi="Calibri"/>
                <w:sz w:val="22"/>
              </w:rPr>
              <w:t>PPC</w:t>
            </w:r>
          </w:p>
        </w:tc>
        <w:tc>
          <w:tcPr>
            <w:tcW w:type="dxa" w:w="1728"/>
          </w:tcPr>
          <w:p>
            <w:r>
              <w:rPr>
                <w:rFonts w:ascii="Calibri" w:hAnsi="Calibri"/>
                <w:sz w:val="22"/>
              </w:rPr>
              <w:t>Jul 30</w:t>
            </w:r>
          </w:p>
        </w:tc>
        <w:tc>
          <w:tcPr>
            <w:tcW w:type="dxa" w:w="1728"/>
          </w:tcPr>
          <w:p>
            <w:r>
              <w:rPr>
                <w:rFonts w:ascii="Calibri" w:hAnsi="Calibri"/>
                <w:sz w:val="22"/>
              </w:rPr>
              <w:t>Direct</w:t>
            </w:r>
          </w:p>
        </w:tc>
        <w:tc>
          <w:tcPr>
            <w:tcW w:type="dxa" w:w="1728"/>
          </w:tcPr>
          <w:p>
            <w:r>
              <w:rPr>
                <w:rFonts w:ascii="Calibri" w:hAnsi="Calibri"/>
                <w:sz w:val="22"/>
              </w:rPr>
              <w:t>Boneless breast retail price decreases in Q3; promotional activity to stimulate volume</w:t>
            </w:r>
          </w:p>
        </w:tc>
        <w:tc>
          <w:tcPr>
            <w:tcW w:type="dxa" w:w="1728"/>
          </w:tcPr>
          <w:p>
            <w:r>
              <w:rPr>
                <w:rFonts w:ascii="Calibri" w:hAnsi="Calibri"/>
                <w:b/>
                <w:color w:val="002FA7"/>
                <w:sz w:val="22"/>
              </w:rPr>
              <w:t>Mixed</w:t>
            </w:r>
          </w:p>
        </w:tc>
      </w:tr>
      <w:tr>
        <w:tc>
          <w:tcPr>
            <w:tcW w:type="dxa" w:w="1728"/>
          </w:tcPr>
          <w:p>
            <w:r>
              <w:rPr>
                <w:rFonts w:ascii="Calibri" w:hAnsi="Calibri"/>
                <w:sz w:val="22"/>
              </w:rPr>
              <w:t>PPC</w:t>
            </w:r>
          </w:p>
        </w:tc>
        <w:tc>
          <w:tcPr>
            <w:tcW w:type="dxa" w:w="1728"/>
          </w:tcPr>
          <w:p>
            <w:r>
              <w:rPr>
                <w:rFonts w:ascii="Calibri" w:hAnsi="Calibri"/>
                <w:sz w:val="22"/>
              </w:rPr>
              <w:t>Jul 30</w:t>
            </w:r>
          </w:p>
        </w:tc>
        <w:tc>
          <w:tcPr>
            <w:tcW w:type="dxa" w:w="1728"/>
          </w:tcPr>
          <w:p>
            <w:r>
              <w:rPr>
                <w:rFonts w:ascii="Calibri" w:hAnsi="Calibri"/>
                <w:sz w:val="22"/>
              </w:rPr>
              <w:t>Direct</w:t>
            </w:r>
          </w:p>
        </w:tc>
        <w:tc>
          <w:tcPr>
            <w:tcW w:type="dxa" w:w="1728"/>
          </w:tcPr>
          <w:p>
            <w:r>
              <w:rPr>
                <w:rFonts w:ascii="Calibri" w:hAnsi="Calibri"/>
                <w:sz w:val="22"/>
              </w:rPr>
              <w:t>Feed cost risk from Middle East/China trade uncertainty; corn and soy volatility</w:t>
            </w:r>
          </w:p>
        </w:tc>
        <w:tc>
          <w:tcPr>
            <w:tcW w:type="dxa" w:w="1728"/>
          </w:tcPr>
          <w:p>
            <w:r>
              <w:rPr>
                <w:rFonts w:ascii="Calibri" w:hAnsi="Calibri"/>
                <w:b/>
                <w:color w:val="002FA7"/>
                <w:sz w:val="22"/>
              </w:rPr>
              <w:t>Watch</w:t>
            </w:r>
          </w:p>
        </w:tc>
      </w:tr>
      <w:tr>
        <w:tc>
          <w:tcPr>
            <w:tcW w:type="dxa" w:w="1728"/>
          </w:tcPr>
          <w:p>
            <w:r>
              <w:rPr>
                <w:rFonts w:ascii="Calibri" w:hAnsi="Calibri"/>
                <w:sz w:val="22"/>
              </w:rPr>
              <w:t>CAG</w:t>
            </w:r>
          </w:p>
        </w:tc>
        <w:tc>
          <w:tcPr>
            <w:tcW w:type="dxa" w:w="1728"/>
          </w:tcPr>
          <w:p>
            <w:r>
              <w:rPr>
                <w:rFonts w:ascii="Calibri" w:hAnsi="Calibri"/>
                <w:sz w:val="22"/>
              </w:rPr>
              <w:t>Jul 15</w:t>
            </w:r>
          </w:p>
        </w:tc>
        <w:tc>
          <w:tcPr>
            <w:tcW w:type="dxa" w:w="1728"/>
          </w:tcPr>
          <w:p>
            <w:r>
              <w:rPr>
                <w:rFonts w:ascii="Calibri" w:hAnsi="Calibri"/>
                <w:sz w:val="22"/>
              </w:rPr>
              <w:t>Indirect</w:t>
            </w:r>
          </w:p>
        </w:tc>
        <w:tc>
          <w:tcPr>
            <w:tcW w:type="dxa" w:w="1728"/>
          </w:tcPr>
          <w:p>
            <w:r>
              <w:rPr>
                <w:rFonts w:ascii="Calibri" w:hAnsi="Calibri"/>
                <w:sz w:val="22"/>
              </w:rPr>
              <w:t>Inflation 5–6% exceeding productivity; consumer volume elasticities higher than historical</w:t>
            </w:r>
          </w:p>
        </w:tc>
        <w:tc>
          <w:tcPr>
            <w:tcW w:type="dxa" w:w="1728"/>
          </w:tcPr>
          <w:p>
            <w:r>
              <w:rPr>
                <w:rFonts w:ascii="Calibri" w:hAnsi="Calibri"/>
                <w:b/>
                <w:color w:val="E5484D"/>
                <w:sz w:val="22"/>
              </w:rPr>
              <w:t>Headwind</w:t>
            </w:r>
          </w:p>
        </w:tc>
      </w:tr>
      <w:tr>
        <w:tc>
          <w:tcPr>
            <w:tcW w:type="dxa" w:w="1728"/>
          </w:tcPr>
          <w:p>
            <w:r>
              <w:rPr>
                <w:rFonts w:ascii="Calibri" w:hAnsi="Calibri"/>
                <w:sz w:val="22"/>
              </w:rPr>
              <w:t>CAG</w:t>
            </w:r>
          </w:p>
        </w:tc>
        <w:tc>
          <w:tcPr>
            <w:tcW w:type="dxa" w:w="1728"/>
          </w:tcPr>
          <w:p>
            <w:r>
              <w:rPr>
                <w:rFonts w:ascii="Calibri" w:hAnsi="Calibri"/>
                <w:sz w:val="22"/>
              </w:rPr>
              <w:t>Jul 15</w:t>
            </w:r>
          </w:p>
        </w:tc>
        <w:tc>
          <w:tcPr>
            <w:tcW w:type="dxa" w:w="1728"/>
          </w:tcPr>
          <w:p>
            <w:r>
              <w:rPr>
                <w:rFonts w:ascii="Calibri" w:hAnsi="Calibri"/>
                <w:sz w:val="22"/>
              </w:rPr>
              <w:t>Indirect</w:t>
            </w:r>
          </w:p>
        </w:tc>
        <w:tc>
          <w:tcPr>
            <w:tcW w:type="dxa" w:w="1728"/>
          </w:tcPr>
          <w:p>
            <w:r>
              <w:rPr>
                <w:rFonts w:ascii="Calibri" w:hAnsi="Calibri"/>
                <w:sz w:val="22"/>
              </w:rPr>
              <w:t>Protein/frozen as growth categories; $100M+ CapEx in fried chicken insourcing</w:t>
            </w:r>
          </w:p>
        </w:tc>
        <w:tc>
          <w:tcPr>
            <w:tcW w:type="dxa" w:w="1728"/>
          </w:tcPr>
          <w:p>
            <w:r>
              <w:rPr>
                <w:rFonts w:ascii="Calibri" w:hAnsi="Calibri"/>
                <w:b/>
                <w:color w:val="30A46C"/>
                <w:sz w:val="22"/>
              </w:rPr>
              <w:t>Positive</w:t>
            </w:r>
          </w:p>
        </w:tc>
      </w:tr>
      <w:tr>
        <w:tc>
          <w:tcPr>
            <w:tcW w:type="dxa" w:w="1728"/>
          </w:tcPr>
          <w:p>
            <w:r>
              <w:rPr>
                <w:rFonts w:ascii="Calibri" w:hAnsi="Calibri"/>
                <w:sz w:val="22"/>
              </w:rPr>
              <w:t>HRL</w:t>
            </w:r>
          </w:p>
        </w:tc>
        <w:tc>
          <w:tcPr>
            <w:tcW w:type="dxa" w:w="1728"/>
          </w:tcPr>
          <w:p>
            <w:r>
              <w:rPr>
                <w:rFonts w:ascii="Calibri" w:hAnsi="Calibri"/>
                <w:sz w:val="22"/>
              </w:rPr>
              <w:t>Jun 8</w:t>
            </w:r>
          </w:p>
        </w:tc>
        <w:tc>
          <w:tcPr>
            <w:tcW w:type="dxa" w:w="1728"/>
          </w:tcPr>
          <w:p>
            <w:r>
              <w:rPr>
                <w:rFonts w:ascii="Calibri" w:hAnsi="Calibri"/>
                <w:sz w:val="22"/>
              </w:rPr>
              <w:t>Direct</w:t>
            </w:r>
          </w:p>
        </w:tc>
        <w:tc>
          <w:tcPr>
            <w:tcW w:type="dxa" w:w="1728"/>
          </w:tcPr>
          <w:p>
            <w:r>
              <w:rPr>
                <w:rFonts w:ascii="Calibri" w:hAnsi="Calibri"/>
                <w:sz w:val="22"/>
              </w:rPr>
              <w:t>Beef and pork input costs at 5-year highs; freight and fuel elevated</w:t>
            </w:r>
          </w:p>
        </w:tc>
        <w:tc>
          <w:tcPr>
            <w:tcW w:type="dxa" w:w="1728"/>
          </w:tcPr>
          <w:p>
            <w:r>
              <w:rPr>
                <w:rFonts w:ascii="Calibri" w:hAnsi="Calibri"/>
                <w:b/>
                <w:color w:val="E5484D"/>
                <w:sz w:val="22"/>
              </w:rPr>
              <w:t>Headwind</w:t>
            </w:r>
          </w:p>
        </w:tc>
      </w:tr>
      <w:tr>
        <w:tc>
          <w:tcPr>
            <w:tcW w:type="dxa" w:w="1728"/>
          </w:tcPr>
          <w:p>
            <w:r>
              <w:rPr>
                <w:rFonts w:ascii="Calibri" w:hAnsi="Calibri"/>
                <w:sz w:val="22"/>
              </w:rPr>
              <w:t>HRL</w:t>
            </w:r>
          </w:p>
        </w:tc>
        <w:tc>
          <w:tcPr>
            <w:tcW w:type="dxa" w:w="1728"/>
          </w:tcPr>
          <w:p>
            <w:r>
              <w:rPr>
                <w:rFonts w:ascii="Calibri" w:hAnsi="Calibri"/>
                <w:sz w:val="22"/>
              </w:rPr>
              <w:t>Jun 8</w:t>
            </w:r>
          </w:p>
        </w:tc>
        <w:tc>
          <w:tcPr>
            <w:tcW w:type="dxa" w:w="1728"/>
          </w:tcPr>
          <w:p>
            <w:r>
              <w:rPr>
                <w:rFonts w:ascii="Calibri" w:hAnsi="Calibri"/>
                <w:sz w:val="22"/>
              </w:rPr>
              <w:t>Indirect</w:t>
            </w:r>
          </w:p>
        </w:tc>
        <w:tc>
          <w:tcPr>
            <w:tcW w:type="dxa" w:w="1728"/>
          </w:tcPr>
          <w:p>
            <w:r>
              <w:rPr>
                <w:rFonts w:ascii="Calibri" w:hAnsi="Calibri"/>
                <w:sz w:val="22"/>
              </w:rPr>
              <w:t>GLP-1 driving protein/morning food demand; validates Jimmy Dean protein platform</w:t>
            </w:r>
          </w:p>
        </w:tc>
        <w:tc>
          <w:tcPr>
            <w:tcW w:type="dxa" w:w="1728"/>
          </w:tcPr>
          <w:p>
            <w:r>
              <w:rPr>
                <w:rFonts w:ascii="Calibri" w:hAnsi="Calibri"/>
                <w:b/>
                <w:color w:val="30A46C"/>
                <w:sz w:val="22"/>
              </w:rPr>
              <w:t>Positive</w:t>
            </w:r>
          </w:p>
        </w:tc>
      </w:tr>
      <w:tr>
        <w:tc>
          <w:tcPr>
            <w:tcW w:type="dxa" w:w="1728"/>
          </w:tcPr>
          <w:p>
            <w:r>
              <w:rPr>
                <w:rFonts w:ascii="Calibri" w:hAnsi="Calibri"/>
                <w:sz w:val="22"/>
              </w:rPr>
              <w:t>HRL</w:t>
            </w:r>
          </w:p>
        </w:tc>
        <w:tc>
          <w:tcPr>
            <w:tcW w:type="dxa" w:w="1728"/>
          </w:tcPr>
          <w:p>
            <w:r>
              <w:rPr>
                <w:rFonts w:ascii="Calibri" w:hAnsi="Calibri"/>
                <w:sz w:val="22"/>
              </w:rPr>
              <w:t>Jun 8</w:t>
            </w:r>
          </w:p>
        </w:tc>
        <w:tc>
          <w:tcPr>
            <w:tcW w:type="dxa" w:w="1728"/>
          </w:tcPr>
          <w:p>
            <w:r>
              <w:rPr>
                <w:rFonts w:ascii="Calibri" w:hAnsi="Calibri"/>
                <w:sz w:val="22"/>
              </w:rPr>
              <w:t>Indirect</w:t>
            </w:r>
          </w:p>
        </w:tc>
        <w:tc>
          <w:tcPr>
            <w:tcW w:type="dxa" w:w="1728"/>
          </w:tcPr>
          <w:p>
            <w:r>
              <w:rPr>
                <w:rFonts w:ascii="Calibri" w:hAnsi="Calibri"/>
                <w:sz w:val="22"/>
              </w:rPr>
              <w:t>Foodservice traffic slow; pricing actions suppressing retail volumes</w:t>
            </w:r>
          </w:p>
        </w:tc>
        <w:tc>
          <w:tcPr>
            <w:tcW w:type="dxa" w:w="1728"/>
          </w:tcPr>
          <w:p>
            <w:r>
              <w:rPr>
                <w:rFonts w:ascii="Calibri" w:hAnsi="Calibri"/>
                <w:b/>
                <w:color w:val="002FA7"/>
                <w:sz w:val="22"/>
              </w:rPr>
              <w:t>Watch</w:t>
            </w:r>
          </w:p>
        </w:tc>
      </w:tr>
      <w:tr>
        <w:tc>
          <w:tcPr>
            <w:tcW w:type="dxa" w:w="1728"/>
          </w:tcPr>
          <w:p>
            <w:r>
              <w:rPr>
                <w:rFonts w:ascii="Calibri" w:hAnsi="Calibri"/>
                <w:sz w:val="22"/>
              </w:rPr>
              <w:t>CALM</w:t>
            </w:r>
          </w:p>
        </w:tc>
        <w:tc>
          <w:tcPr>
            <w:tcW w:type="dxa" w:w="1728"/>
          </w:tcPr>
          <w:p>
            <w:r>
              <w:rPr>
                <w:rFonts w:ascii="Calibri" w:hAnsi="Calibri"/>
                <w:sz w:val="22"/>
              </w:rPr>
              <w:t>Jul 22</w:t>
            </w:r>
          </w:p>
        </w:tc>
        <w:tc>
          <w:tcPr>
            <w:tcW w:type="dxa" w:w="1728"/>
          </w:tcPr>
          <w:p>
            <w:r>
              <w:rPr>
                <w:rFonts w:ascii="Calibri" w:hAnsi="Calibri"/>
                <w:sz w:val="22"/>
              </w:rPr>
              <w:t>Indirect</w:t>
            </w:r>
          </w:p>
        </w:tc>
        <w:tc>
          <w:tcPr>
            <w:tcW w:type="dxa" w:w="1728"/>
          </w:tcPr>
          <w:p>
            <w:r>
              <w:rPr>
                <w:rFonts w:ascii="Calibri" w:hAnsi="Calibri"/>
                <w:sz w:val="22"/>
              </w:rPr>
              <w:t>Commodity protein pricing trough in Jun–Jul; rapid recovery in late July; supply moderating</w:t>
            </w:r>
          </w:p>
        </w:tc>
        <w:tc>
          <w:tcPr>
            <w:tcW w:type="dxa" w:w="1728"/>
          </w:tcPr>
          <w:p>
            <w:r>
              <w:rPr>
                <w:rFonts w:ascii="Calibri" w:hAnsi="Calibri"/>
                <w:b/>
                <w:color w:val="30A46C"/>
                <w:sz w:val="22"/>
              </w:rPr>
              <w:t>Mixed → Positive</w:t>
            </w:r>
          </w:p>
        </w:tc>
      </w:tr>
      <w:tr>
        <w:tc>
          <w:tcPr>
            <w:tcW w:type="dxa" w:w="1728"/>
          </w:tcPr>
          <w:p>
            <w:r>
              <w:rPr>
                <w:rFonts w:ascii="Calibri" w:hAnsi="Calibri"/>
                <w:sz w:val="22"/>
              </w:rPr>
              <w:t>CALM</w:t>
            </w:r>
          </w:p>
        </w:tc>
        <w:tc>
          <w:tcPr>
            <w:tcW w:type="dxa" w:w="1728"/>
          </w:tcPr>
          <w:p>
            <w:r>
              <w:rPr>
                <w:rFonts w:ascii="Calibri" w:hAnsi="Calibri"/>
                <w:sz w:val="22"/>
              </w:rPr>
              <w:t>Jul 22</w:t>
            </w:r>
          </w:p>
        </w:tc>
        <w:tc>
          <w:tcPr>
            <w:tcW w:type="dxa" w:w="1728"/>
          </w:tcPr>
          <w:p>
            <w:r>
              <w:rPr>
                <w:rFonts w:ascii="Calibri" w:hAnsi="Calibri"/>
                <w:sz w:val="22"/>
              </w:rPr>
              <w:t>Direct</w:t>
            </w:r>
          </w:p>
        </w:tc>
        <w:tc>
          <w:tcPr>
            <w:tcW w:type="dxa" w:w="1728"/>
          </w:tcPr>
          <w:p>
            <w:r>
              <w:rPr>
                <w:rFonts w:ascii="Calibri" w:hAnsi="Calibri"/>
                <w:sz w:val="22"/>
              </w:rPr>
              <w:t>HPAI remains an ongoing threat; not gone globally</w:t>
            </w:r>
          </w:p>
        </w:tc>
        <w:tc>
          <w:tcPr>
            <w:tcW w:type="dxa" w:w="1728"/>
          </w:tcPr>
          <w:p>
            <w:r>
              <w:rPr>
                <w:rFonts w:ascii="Calibri" w:hAnsi="Calibri"/>
                <w:b/>
                <w:color w:val="E5484D"/>
                <w:sz w:val="22"/>
              </w:rPr>
              <w:t>Risk</w:t>
            </w:r>
          </w:p>
        </w:tc>
      </w:tr>
    </w:tbl>
    <w:p>
      <w:pPr>
        <w:pStyle w:val="Heading3"/>
      </w:pPr>
      <w:r>
        <w:rPr>
          <w:rFonts w:ascii="Calibri" w:hAnsi="Calibri"/>
          <w:b/>
          <w:color w:val="3B4259"/>
          <w:sz w:val="24"/>
        </w:rPr>
        <w:t>Excluded Items Note</w:t>
      </w:r>
    </w:p>
    <w:p>
      <w:r>
        <w:rPr>
          <w:rFonts w:ascii="Calibri" w:hAnsi="Calibri"/>
          <w:color w:val="525866"/>
          <w:sz w:val="22"/>
        </w:rPr>
        <w:t>The following peer commentary was reviewed but excluded from the read-through section per the screening criteria:</w:t>
      </w:r>
    </w:p>
    <w:p>
      <w:pPr>
        <w:pStyle w:val="ListBullet"/>
        <w:ind w:left="360" w:hanging="360"/>
      </w:pPr>
      <w:r>
        <w:rPr>
          <w:rFonts w:ascii="Calibri" w:hAnsi="Calibri"/>
          <w:b/>
          <w:color w:val="525866"/>
          <w:sz w:val="22"/>
        </w:rPr>
        <w:t>CAG Q4 FY2026 backward-looking results:</w:t>
      </w:r>
      <w:r>
        <w:rPr>
          <w:rFonts w:ascii="Calibri" w:hAnsi="Calibri"/>
          <w:color w:val="525866"/>
          <w:sz w:val="22"/>
        </w:rPr>
        <w:t xml:space="preserve"> ConAgra’s Q4 FY2026 (ended May 2026) segment-level results and margin performance were excluded as they reflect a completed period not directly relevant to TSN’s Q3 FY2026 conditions.</w:t>
      </w:r>
    </w:p>
    <w:p>
      <w:pPr>
        <w:pStyle w:val="ListBullet"/>
        <w:ind w:left="360" w:hanging="360"/>
      </w:pPr>
      <w:r>
        <w:rPr>
          <w:rFonts w:ascii="Calibri" w:hAnsi="Calibri"/>
          <w:b/>
          <w:color w:val="525866"/>
          <w:sz w:val="22"/>
        </w:rPr>
        <w:t>CALM Q4 FY2026 egg pricing results:</w:t>
      </w:r>
      <w:r>
        <w:rPr>
          <w:rFonts w:ascii="Calibri" w:hAnsi="Calibri"/>
          <w:color w:val="525866"/>
          <w:sz w:val="22"/>
        </w:rPr>
        <w:t xml:space="preserve"> Cal-Maine’s conventional egg pricing collapse in Q4 FY2026 (March–May 2026) was excluded as it reflects a completed period; only the forward-looking commentary about June–August 2026 conditions was included.</w:t>
      </w:r>
    </w:p>
    <w:p>
      <w:pPr>
        <w:pStyle w:val="ListBullet"/>
        <w:ind w:left="360" w:hanging="360"/>
      </w:pPr>
      <w:r>
        <w:rPr>
          <w:rFonts w:ascii="Calibri" w:hAnsi="Calibri"/>
          <w:b/>
          <w:color w:val="525866"/>
          <w:sz w:val="22"/>
        </w:rPr>
        <w:t>PepsiCo (PEP) Q2 2026 results (July 19):</w:t>
      </w:r>
      <w:r>
        <w:rPr>
          <w:rFonts w:ascii="Calibri" w:hAnsi="Calibri"/>
          <w:color w:val="525866"/>
          <w:sz w:val="22"/>
        </w:rPr>
        <w:t xml:space="preserve"> PEP’s North America food revenue decline and volume weakness were noted but excluded as PEP’s snack/beverage portfolio has limited direct read-through to TSN’s protein segments. The consumer softness commentary is captured via HRL and CAG.</w:t>
      </w:r>
    </w:p>
    <w:p>
      <w:pPr>
        <w:pStyle w:val="ListBullet"/>
        <w:ind w:left="360" w:hanging="360"/>
      </w:pPr>
      <w:r>
        <w:rPr>
          <w:rFonts w:ascii="Calibri" w:hAnsi="Calibri"/>
          <w:b/>
          <w:color w:val="525866"/>
          <w:sz w:val="22"/>
        </w:rPr>
        <w:t>Procter &amp; Gamble (PG) Q4 FY2026 results (July 29):</w:t>
      </w:r>
      <w:r>
        <w:rPr>
          <w:rFonts w:ascii="Calibri" w:hAnsi="Calibri"/>
          <w:color w:val="525866"/>
          <w:sz w:val="22"/>
        </w:rPr>
        <w:t xml:space="preserve"> PG’s flat organic sales and soft guidance were excluded as the household/personal care portfolio has no direct read-through to TSN’s protein business.</w:t>
      </w:r>
    </w:p>
    <w:p>
      <w:pPr>
        <w:pStyle w:val="ListBullet"/>
        <w:ind w:left="360" w:hanging="360"/>
      </w:pPr>
      <w:r>
        <w:rPr>
          <w:rFonts w:ascii="Calibri" w:hAnsi="Calibri"/>
          <w:b/>
          <w:color w:val="525866"/>
          <w:sz w:val="22"/>
        </w:rPr>
        <w:t>Lamb Weston (LW) Q4 FY2026 results (July 24):</w:t>
      </w:r>
      <w:r>
        <w:rPr>
          <w:rFonts w:ascii="Calibri" w:hAnsi="Calibri"/>
          <w:color w:val="525866"/>
          <w:sz w:val="22"/>
        </w:rPr>
        <w:t xml:space="preserve"> LW’s commentary on diners eating out less frequently and price concessions to restaurant customers was noted as a foodservice traffic watch item but excluded as the potato/frozen food category has limited direct read-through to TSN’s protein segments.</w:t>
      </w:r>
    </w:p>
    <w:p>
      <w:r>
        <w:rPr>
          <w:rFonts w:ascii="Calibri" w:hAnsi="Calibri"/>
          <w:i/>
          <w:color w:val="525866"/>
          <w:sz w:val="22"/>
        </w:rPr>
        <w:t>Sources: PPC Q2 FY2026 Earnings Call (July 30, 2026); CAG Q4 FY2026 Earnings Call (July 15, 2026); HRL Oppenheimer Consumer Growth &amp; E-Commerce Conference (June 8, 2026); CALM Q4 FY2026 Earnings Call (July 22,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