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TT (Trane Technologies) before writing the preview. Let me gather recent earnings, guidance, and news.Let me read the most recent earnings call (2026Q1) and release to understand current guidance and trajectory.Let me get the prior-year Q2 2025 numbers (for comps) and recent stock price/news for context.The stock dropped sharply into the print (from ~$483 on 7/27 to $450.70 on 7/29). Let me check recent news to understand why.I have what I need. Here's my earnings preview.</w:t>
      </w:r>
    </w:p>
    <w:p>
      <w:r>
        <w:pict>
          <v:rect style="width:0;height:1.5pt" o:hralign="center" o:hrstd="t" o:hr="t"/>
        </w:pict>
      </w:r>
    </w:p>
    <w:bookmarkStart w:id="16" w:name="X77bfaba36be3090400233efe2cedd66ee165c3b"/>
    <w:p>
      <w:pPr>
        <w:pStyle w:val="Heading1"/>
      </w:pPr>
      <w:r>
        <w:t xml:space="preserve">Trane Technologies (TT) — Q2 2026 Earnings Preview</w:t>
      </w:r>
    </w:p>
    <w:bookmarkStart w:id="9" w:name="Xac9af3e8e7d400ca98e4f813163d33a040516c5"/>
    <w:p>
      <w:pPr>
        <w:pStyle w:val="Heading3"/>
      </w:pPr>
      <w:r>
        <w:t xml:space="preserve">Reports before market open Thursday, July 30, 2026 | 2026Q2 Earnings Call</w:t>
      </w:r>
    </w:p>
    <w:bookmarkEnd w:id="9"/>
    <w:bookmarkStart w:id="10" w:name="Xcb7fbdb14e712898dd6c2df8e1c501938bdbf24"/>
    <w:p>
      <w:pPr>
        <w:pStyle w:val="Heading2"/>
      </w:pPr>
      <w:r>
        <w:t xml:space="preserve">The setup: a high-quality compounder heading into the print under a cloud</w:t>
      </w:r>
    </w:p>
    <w:p>
      <w:pPr>
        <w:pStyle w:val="FirstParagraph"/>
      </w:pPr>
      <w:r>
        <w:t xml:space="preserve">Trane goes into this report as one of the best-executing names in HVAC, but the tape has turned hostile in the last 48 hours. After peaking near</w:t>
      </w:r>
      <w:r>
        <w:t xml:space="preserve"> </w:t>
      </w:r>
      <m:oMath>
        <m:r>
          <m:t>503</m:t>
        </m:r>
        <m:r>
          <m:t>o</m:t>
        </m:r>
        <m:r>
          <m:t>n</m:t>
        </m:r>
        <m:r>
          <m:t>J</m:t>
        </m:r>
        <m:r>
          <m:t>u</m:t>
        </m:r>
        <m:r>
          <m:t>n</m:t>
        </m:r>
        <m:r>
          <m:t>e</m:t>
        </m:r>
        <m:r>
          <m:t>25</m:t>
        </m:r>
        <m:r>
          <m:rPr>
            <m:sty m:val="p"/>
          </m:rPr>
          <m:t>*</m:t>
        </m:r>
        <m:r>
          <m:rPr>
            <m:sty m:val="p"/>
          </m:rPr>
          <m:t>*</m:t>
        </m:r>
        <m:r>
          <m:rPr>
            <m:sty m:val="p"/>
          </m:rPr>
          <m:t>,</m:t>
        </m:r>
        <m:r>
          <m:t>t</m:t>
        </m:r>
        <m:r>
          <m:t>h</m:t>
        </m:r>
        <m:r>
          <m:t>e</m:t>
        </m:r>
        <m:r>
          <m:t>s</m:t>
        </m:r>
        <m:r>
          <m:t>t</m:t>
        </m:r>
        <m:r>
          <m:t>o</m:t>
        </m:r>
        <m:r>
          <m:t>c</m:t>
        </m:r>
        <m:r>
          <m:t>k</m:t>
        </m:r>
        <m:r>
          <m:t>h</m:t>
        </m:r>
        <m:r>
          <m:t>a</m:t>
        </m:r>
        <m:r>
          <m:t>s</m:t>
        </m:r>
        <m:r>
          <m:t>s</m:t>
        </m:r>
        <m:r>
          <m:t>l</m:t>
        </m:r>
        <m:r>
          <m:t>i</m:t>
        </m:r>
        <m:r>
          <m:t>d</m:t>
        </m:r>
        <m:r>
          <m:t>t</m:t>
        </m:r>
        <m:r>
          <m:t>o</m:t>
        </m:r>
        <m:r>
          <m:rPr>
            <m:sty m:val="p"/>
          </m:rPr>
          <m:t>*</m:t>
        </m:r>
        <m:r>
          <m:rPr>
            <m:sty m:val="p"/>
          </m:rPr>
          <m:t>*</m:t>
        </m:r>
      </m:oMath>
      <w:r>
        <w:rPr>
          <w:b/>
          <w:bCs/>
        </w:rPr>
        <w:t xml:space="preserve">450.70 as of the July 29 close</w:t>
      </w:r>
      <w:r>
        <w:t xml:space="preserve">, including a sharp ~7% two-day drop into the print (from ~$483 on July 27). It's still up ~13% year-to-date, but the momentum has clearly cracked right before numbers.</w:t>
      </w:r>
    </w:p>
    <w:p>
      <w:pPr>
        <w:pStyle w:val="BodyText"/>
      </w:pPr>
      <w:r>
        <w:rPr>
          <w:b/>
          <w:bCs/>
        </w:rPr>
        <w:t xml:space="preserve">Why the pre-print swoon matters:</w:t>
      </w:r>
      <w:r>
        <w:t xml:space="preserve"> </w:t>
      </w:r>
      <w:r>
        <w:t xml:space="preserve">On July 29, HVAC peer</w:t>
      </w:r>
      <w:r>
        <w:t xml:space="preserve"> </w:t>
      </w:r>
      <w:r>
        <w:rPr>
          <w:b/>
          <w:bCs/>
        </w:rPr>
        <w:t xml:space="preserve">Lennox plunged ~19%</w:t>
      </w:r>
      <w:r>
        <w:t xml:space="preserve"> </w:t>
      </w:r>
      <w:r>
        <w:t xml:space="preserve">after cutting its full-year outlook, with its CEO warning that a demand recovery may not arrive until 2027. Carrier's results got an AI/data-center lift but its stock still fell. In other words, the sector's read-through into TT is negative, and residential HVAC in particular is under a microscope. Expectations management here is everything — TT's own results could be fine, but the bar for tone and guidance has effectively been raised by peers stumbling.</w:t>
      </w:r>
    </w:p>
    <w:p>
      <w:r>
        <w:pict>
          <v:rect style="width:0;height:1.5pt" o:hralign="center" o:hrstd="t" o:hr="t"/>
        </w:pict>
      </w:r>
    </w:p>
    <w:bookmarkEnd w:id="10"/>
    <w:bookmarkStart w:id="11" w:name="X6b28e898877533ebc18f5f21bc7238db71b981d"/>
    <w:p>
      <w:pPr>
        <w:pStyle w:val="Heading2"/>
      </w:pPr>
      <w:r>
        <w:t xml:space="preserve">What management guided for Q2 (set on the April 30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 (comp)</w:t>
            </w:r>
          </w:p>
        </w:tc>
      </w:tr>
      <w:tr>
        <w:tc>
          <w:tcPr/>
          <w:p>
            <w:pPr>
              <w:pStyle w:val="Compact"/>
            </w:pPr>
            <w:r>
              <w:t xml:space="preserve">Organic revenue growth</w:t>
            </w:r>
          </w:p>
        </w:tc>
        <w:tc>
          <w:tcPr/>
          <w:p>
            <w:pPr>
              <w:pStyle w:val="Compact"/>
            </w:pPr>
            <w:r>
              <w:rPr>
                <w:b/>
                <w:bCs/>
              </w:rPr>
              <w:t xml:space="preserve">~5%</w:t>
            </w:r>
          </w:p>
        </w:tc>
        <w:tc>
          <w:tcPr/>
          <w:p>
            <w:pPr>
              <w:pStyle w:val="Compact"/>
            </w:pPr>
            <w:r>
              <w:t xml:space="preserve">+7% organic (+8% reported)</w:t>
            </w:r>
          </w:p>
        </w:tc>
      </w:tr>
      <w:tr>
        <w:tc>
          <w:tcPr/>
          <w:p>
            <w:pPr>
              <w:pStyle w:val="Compact"/>
            </w:pPr>
            <w:r>
              <w:t xml:space="preserve">Adjusted EPS</w:t>
            </w:r>
          </w:p>
        </w:tc>
        <w:tc>
          <w:tcPr/>
          <w:p>
            <w:pPr>
              <w:pStyle w:val="Compact"/>
            </w:pPr>
            <w:r>
              <w:rPr>
                <w:b/>
                <w:bCs/>
              </w:rPr>
              <w:t xml:space="preserve">$4.20 – $4.25</w:t>
            </w:r>
          </w:p>
        </w:tc>
        <w:tc>
          <w:tcPr/>
          <w:p>
            <w:pPr>
              <w:pStyle w:val="Compact"/>
            </w:pPr>
            <w:r>
              <w:t xml:space="preserve">$3.88</w:t>
            </w:r>
          </w:p>
        </w:tc>
      </w:tr>
      <w:tr>
        <w:tc>
          <w:tcPr/>
          <w:p>
            <w:pPr>
              <w:pStyle w:val="Compact"/>
            </w:pPr>
            <w:r>
              <w:t xml:space="preserve">Implied adj. EPS growth</w:t>
            </w:r>
          </w:p>
        </w:tc>
        <w:tc>
          <w:tcPr/>
          <w:p>
            <w:pPr>
              <w:pStyle w:val="Compact"/>
            </w:pPr>
            <w:r>
              <w:t xml:space="preserve">~8–10%</w:t>
            </w:r>
          </w:p>
        </w:tc>
        <w:tc>
          <w:tcPr/>
          <w:p>
            <w:pPr>
              <w:pStyle w:val="Compact"/>
            </w:pPr>
            <w:r>
              <w:t xml:space="preserve">+18%</w:t>
            </w:r>
          </w:p>
        </w:tc>
      </w:tr>
    </w:tbl>
    <w:p>
      <w:pPr>
        <w:pStyle w:val="BodyText"/>
      </w:pPr>
      <w:r>
        <w:t xml:space="preserve">The Q2 EPS guide implies a clear</w:t>
      </w:r>
      <w:r>
        <w:t xml:space="preserve"> </w:t>
      </w:r>
      <w:r>
        <w:rPr>
          <w:b/>
          <w:bCs/>
        </w:rPr>
        <w:t xml:space="preserve">deceleration in EPS growth</w:t>
      </w:r>
      <w:r>
        <w:t xml:space="preserve"> </w:t>
      </w:r>
      <w:r>
        <w:t xml:space="preserve">versus the +18% posted a year ago — that's by design, running into a tough prior-year comp (Q2 2025 was a monster quarter with 20.3% adjusted operating margin). Investors should judge the quarter against the guide, not the flashy prior-year growth rate.</w:t>
      </w:r>
    </w:p>
    <w:p>
      <w:pPr>
        <w:pStyle w:val="BodyText"/>
      </w:pPr>
      <w:r>
        <w:rPr>
          <w:b/>
          <w:bCs/>
        </w:rPr>
        <w:t xml:space="preserve">Segment-level expectations management gave for Q2:</w:t>
      </w:r>
    </w:p>
    <w:p>
      <w:pPr>
        <w:pStyle w:val="Compact"/>
        <w:numPr>
          <w:ilvl w:val="0"/>
          <w:numId w:val="1001"/>
        </w:numPr>
      </w:pPr>
      <w:r>
        <w:rPr>
          <w:b/>
          <w:bCs/>
        </w:rPr>
        <w:t xml:space="preserve">Americas Commercial HVAC:</w:t>
      </w:r>
      <w:r>
        <w:t xml:space="preserve"> </w:t>
      </w:r>
      <w:r>
        <w:t xml:space="preserve">~10% revenue growth against a tough mid-teens prior-year comp.</w:t>
      </w:r>
    </w:p>
    <w:p>
      <w:pPr>
        <w:pStyle w:val="Compact"/>
        <w:numPr>
          <w:ilvl w:val="0"/>
          <w:numId w:val="1001"/>
        </w:numPr>
      </w:pPr>
      <w:r>
        <w:rPr>
          <w:b/>
          <w:bCs/>
        </w:rPr>
        <w:t xml:space="preserve">Residential:</w:t>
      </w:r>
      <w:r>
        <w:t xml:space="preserve"> </w:t>
      </w:r>
      <w:r>
        <w:t xml:space="preserve">"flattish" in Q2, pivoting to growth in H2 on easier comps.</w:t>
      </w:r>
    </w:p>
    <w:p>
      <w:pPr>
        <w:pStyle w:val="Compact"/>
        <w:numPr>
          <w:ilvl w:val="0"/>
          <w:numId w:val="1001"/>
        </w:numPr>
      </w:pPr>
      <w:r>
        <w:rPr>
          <w:b/>
          <w:bCs/>
        </w:rPr>
        <w:t xml:space="preserve">Americas Transport (Thermo King):</w:t>
      </w:r>
      <w:r>
        <w:t xml:space="preserve"> </w:t>
      </w:r>
      <w:r>
        <w:t xml:space="preserve">down ~mid-teens on timing of large customer deliveries; management expects Q2 to be the market trough.</w:t>
      </w:r>
    </w:p>
    <w:p>
      <w:pPr>
        <w:pStyle w:val="Compact"/>
        <w:numPr>
          <w:ilvl w:val="0"/>
          <w:numId w:val="1001"/>
        </w:numPr>
      </w:pPr>
      <w:r>
        <w:rPr>
          <w:b/>
          <w:bCs/>
        </w:rPr>
        <w:t xml:space="preserve">EMEA:</w:t>
      </w:r>
      <w:r>
        <w:t xml:space="preserve"> </w:t>
      </w:r>
      <w:r>
        <w:t xml:space="preserve">a ~</w:t>
      </w:r>
      <m:oMath>
        <m:r>
          <m:t>50</m:t>
        </m:r>
        <m:r>
          <m:t>M</m:t>
        </m:r>
        <m:r>
          <m:t>r</m:t>
        </m:r>
        <m:r>
          <m:t>e</m:t>
        </m:r>
        <m:r>
          <m:t>v</m:t>
        </m:r>
        <m:r>
          <m:t>e</m:t>
        </m:r>
        <m:r>
          <m:t>n</m:t>
        </m:r>
        <m:r>
          <m:t>u</m:t>
        </m:r>
        <m:r>
          <m:t>e</m:t>
        </m:r>
        <m:r>
          <m:rPr>
            <m:sty m:val="p"/>
          </m:rPr>
          <m:t>/</m:t>
        </m:r>
        <m:r>
          <m:t> </m:t>
        </m:r>
      </m:oMath>
      <w:r>
        <w:t xml:space="preserve">0.05 EPS headwind from the Middle East conflict baked in.</w:t>
      </w:r>
    </w:p>
    <w:p>
      <w:pPr>
        <w:pStyle w:val="Compact"/>
        <w:numPr>
          <w:ilvl w:val="0"/>
          <w:numId w:val="1001"/>
        </w:numPr>
      </w:pPr>
      <w:r>
        <w:rPr>
          <w:b/>
          <w:bCs/>
        </w:rPr>
        <w:t xml:space="preserve">Asia Pacific:</w:t>
      </w:r>
      <w:r>
        <w:t xml:space="preserve"> </w:t>
      </w:r>
      <w:r>
        <w:t xml:space="preserve">flattish, China still weak, "rest of Asia" stronger.</w:t>
      </w:r>
    </w:p>
    <w:p>
      <w:pPr>
        <w:pStyle w:val="FirstParagraph"/>
      </w:pPr>
      <w:r>
        <w:t xml:space="preserve">Modeled organic leverage steps up to the</w:t>
      </w:r>
      <w:r>
        <w:t xml:space="preserve"> </w:t>
      </w:r>
      <w:r>
        <w:rPr>
          <w:b/>
          <w:bCs/>
        </w:rPr>
        <w:t xml:space="preserve">mid-20s%</w:t>
      </w:r>
      <w:r>
        <w:t xml:space="preserve"> </w:t>
      </w:r>
      <w:r>
        <w:t xml:space="preserve">in Q2 (from high-teens in Q1) as residential level-loading absorption headwinds ease and volumes build.</w:t>
      </w:r>
    </w:p>
    <w:p>
      <w:r>
        <w:pict>
          <v:rect style="width:0;height:1.5pt" o:hralign="center" o:hrstd="t" o:hr="t"/>
        </w:pict>
      </w:r>
    </w:p>
    <w:bookmarkEnd w:id="11"/>
    <w:bookmarkStart w:id="12" w:name="X0685cbb339c388ca654e182f3e2178bdb359f3a"/>
    <w:p>
      <w:pPr>
        <w:pStyle w:val="Heading2"/>
      </w:pPr>
      <w:r>
        <w:t xml:space="preserve">The bull case rests on bookings and backlog — watch these first</w:t>
      </w:r>
    </w:p>
    <w:p>
      <w:pPr>
        <w:pStyle w:val="FirstParagraph"/>
      </w:pPr>
      <w:r>
        <w:t xml:space="preserve">The single most important data points in this release are</w:t>
      </w:r>
      <w:r>
        <w:t xml:space="preserve"> </w:t>
      </w:r>
      <w:r>
        <w:rPr>
          <w:b/>
          <w:bCs/>
        </w:rPr>
        <w:t xml:space="preserve">bookings and backlog</w:t>
      </w:r>
      <w:r>
        <w:t xml:space="preserve">, because they underpin the second-half acceleration story:</w:t>
      </w:r>
    </w:p>
    <w:p>
      <w:pPr>
        <w:pStyle w:val="Compact"/>
        <w:numPr>
          <w:ilvl w:val="0"/>
          <w:numId w:val="1002"/>
        </w:numPr>
      </w:pPr>
      <w:r>
        <w:t xml:space="preserve">Q1 2026 delivered</w:t>
      </w:r>
      <w:r>
        <w:t xml:space="preserve"> </w:t>
      </w:r>
      <w:r>
        <w:rPr>
          <w:b/>
          <w:bCs/>
        </w:rPr>
        <w:t xml:space="preserve">24% organic bookings growth</w:t>
      </w:r>
      <w:r>
        <w:t xml:space="preserve"> </w:t>
      </w:r>
      <w:r>
        <w:t xml:space="preserve">and a</w:t>
      </w:r>
      <w:r>
        <w:t xml:space="preserve"> </w:t>
      </w:r>
      <w:r>
        <w:rPr>
          <w:b/>
          <w:bCs/>
        </w:rPr>
        <w:t xml:space="preserve">record $10.7B backlog, up over 30% vs. year-end 2025 and ~70% year-over-year</w:t>
      </w:r>
      <w:r>
        <w:t xml:space="preserve">.</w:t>
      </w:r>
    </w:p>
    <w:p>
      <w:pPr>
        <w:pStyle w:val="Compact"/>
        <w:numPr>
          <w:ilvl w:val="0"/>
          <w:numId w:val="1002"/>
        </w:numPr>
      </w:pPr>
      <w:r>
        <w:rPr>
          <w:b/>
          <w:bCs/>
        </w:rPr>
        <w:t xml:space="preserve">Americas Commercial HVAC bookings up ~40%</w:t>
      </w:r>
      <w:r>
        <w:t xml:space="preserve">, with</w:t>
      </w:r>
      <w:r>
        <w:t xml:space="preserve"> </w:t>
      </w:r>
      <w:r>
        <w:rPr>
          <w:b/>
          <w:bCs/>
        </w:rPr>
        <w:t xml:space="preserve">Applied Solutions bookings up over 160%</w:t>
      </w:r>
      <w:r>
        <w:t xml:space="preserve"> </w:t>
      </w:r>
      <w:r>
        <w:t xml:space="preserve">— the third straight quarter of &gt;100% applied growth, driven by data centers.</w:t>
      </w:r>
    </w:p>
    <w:p>
      <w:pPr>
        <w:pStyle w:val="Compact"/>
        <w:numPr>
          <w:ilvl w:val="0"/>
          <w:numId w:val="1002"/>
        </w:numPr>
      </w:pPr>
      <w:r>
        <w:t xml:space="preserve">Backlog growth in Q1 was ~</w:t>
      </w:r>
      <m:oMath>
        <m:r>
          <m:t>3</m:t>
        </m:r>
        <m:r>
          <m:t>B</m:t>
        </m:r>
        <m:r>
          <m:rPr>
            <m:sty m:val="p"/>
          </m:rPr>
          <m:t>,</m:t>
        </m:r>
        <m:r>
          <m:t>o</m:t>
        </m:r>
        <m:r>
          <m:t>f</m:t>
        </m:r>
        <m:r>
          <m:t>w</m:t>
        </m:r>
        <m:r>
          <m:t>h</m:t>
        </m:r>
        <m:r>
          <m:t>i</m:t>
        </m:r>
        <m:r>
          <m:t>c</m:t>
        </m:r>
        <m:r>
          <m:t>h</m:t>
        </m:r>
        <m:r>
          <m:t> </m:t>
        </m:r>
      </m:oMath>
      <w:r>
        <w:t xml:space="preserve">1.7–1.8B was organic (the rest from the</w:t>
      </w:r>
      <w:r>
        <w:t xml:space="preserve"> </w:t>
      </w:r>
      <w:r>
        <w:rPr>
          <w:b/>
          <w:bCs/>
        </w:rPr>
        <w:t xml:space="preserve">Stellar Energy</w:t>
      </w:r>
      <w:r>
        <w:t xml:space="preserve"> </w:t>
      </w:r>
      <w:r>
        <w:t xml:space="preserve">modular data-center cooling acquisition, which added ~$1B of backlog).</w:t>
      </w:r>
    </w:p>
    <w:p>
      <w:pPr>
        <w:pStyle w:val="FirstParagraph"/>
      </w:pPr>
      <w:r>
        <w:t xml:space="preserve">For context, Q2 2025 backlog was only $7.1B — so the year-over-year backlog comparison should still look enormous.</w:t>
      </w:r>
      <w:r>
        <w:t xml:space="preserve"> </w:t>
      </w:r>
      <w:r>
        <w:rPr>
          <w:b/>
          <w:bCs/>
        </w:rPr>
        <w:t xml:space="preserve">Key questions:</w:t>
      </w:r>
      <w:r>
        <w:t xml:space="preserve"> </w:t>
      </w:r>
      <w:r>
        <w:t xml:space="preserve">Can applied/data-center bookings stay above triple-digit growth, or do they finally moderate off an extreme base? Is book-to-bill still &gt;100%? Any sign of order cancellations or push-outs (relevant given the Lennox demand warning)?</w:t>
      </w:r>
    </w:p>
    <w:p>
      <w:r>
        <w:pict>
          <v:rect style="width:0;height:1.5pt" o:hralign="center" o:hrstd="t" o:hr="t"/>
        </w:pict>
      </w:r>
    </w:p>
    <w:bookmarkEnd w:id="12"/>
    <w:bookmarkStart w:id="13" w:name="X967473f473c6f5eb855b48e0e5b02f4fd85243d"/>
    <w:p>
      <w:pPr>
        <w:pStyle w:val="Heading2"/>
      </w:pPr>
      <w:r>
        <w:t xml:space="preserve">The three debates that will move the stock</w:t>
      </w:r>
    </w:p>
    <w:p>
      <w:pPr>
        <w:pStyle w:val="FirstParagraph"/>
      </w:pPr>
      <w:r>
        <w:rPr>
          <w:b/>
          <w:bCs/>
        </w:rPr>
        <w:t xml:space="preserve">1. Residential — the flashpoint.</w:t>
      </w:r>
      <w:r>
        <w:t xml:space="preserve"> </w:t>
      </w:r>
      <w:r>
        <w:t xml:space="preserve">TT raised its 2026 resi outlook to "flattish" (from down ~5%) in April and said channel inventory was healthy. But Lennox's warning of no recovery until 2027 will make investors nervous about the read-through. Watch for: summer selling-season commentary, channel inventory, and whether TT holds its "growth in H2" resi call. Resi is only ~15–20% of the enterprise, but sentiment leverage is high right now.</w:t>
      </w:r>
    </w:p>
    <w:p>
      <w:pPr>
        <w:pStyle w:val="BodyText"/>
      </w:pPr>
      <w:r>
        <w:rPr>
          <w:b/>
          <w:bCs/>
        </w:rPr>
        <w:t xml:space="preserve">2. Guidance — do they raise again?</w:t>
      </w:r>
      <w:r>
        <w:t xml:space="preserve"> </w:t>
      </w:r>
      <w:r>
        <w:t xml:space="preserve">TT has raised full-year guidance every quarter, most recently to</w:t>
      </w:r>
      <w:r>
        <w:t xml:space="preserve"> </w:t>
      </w:r>
      <w:r>
        <w:rPr>
          <w:b/>
          <w:bCs/>
        </w:rPr>
        <w:t xml:space="preserve">~7% organic revenue growth and</w:t>
      </w:r>
      <w:r>
        <w:rPr>
          <w:b/>
          <w:bCs/>
        </w:rPr>
        <w:t xml:space="preserve"> </w:t>
      </w:r>
      <m:oMath>
        <m:r>
          <m:t>14.75</m:t>
        </m:r>
        <m:r>
          <m:rPr>
            <m:sty m:val="p"/>
          </m:rPr>
          <m:t>–</m:t>
        </m:r>
      </m:oMath>
      <w:r>
        <w:rPr>
          <w:b/>
          <w:bCs/>
        </w:rPr>
        <w:t xml:space="preserve">14.95 adjusted EPS (13–15% growth)</w:t>
      </w:r>
      <w:r>
        <w:t xml:space="preserve"> </w:t>
      </w:r>
      <w:r>
        <w:t xml:space="preserve">in April. Given the pattern and the record backlog, another modest raise would be the "expected" bullish outcome. Simply</w:t>
      </w:r>
      <w:r>
        <w:t xml:space="preserve"> </w:t>
      </w:r>
      <w:r>
        <w:rPr>
          <w:i/>
          <w:iCs/>
        </w:rPr>
        <w:t xml:space="preserve">reaffirming</w:t>
      </w:r>
      <w:r>
        <w:t xml:space="preserve"> </w:t>
      </w:r>
      <w:r>
        <w:t xml:space="preserve">could disappoint a market conditioned to beat-and-raise — especially after peers cut. The credibility of the</w:t>
      </w:r>
      <w:r>
        <w:t xml:space="preserve"> </w:t>
      </w:r>
      <w:r>
        <w:rPr>
          <w:b/>
          <w:bCs/>
        </w:rPr>
        <w:t xml:space="preserve">H2 revenue acceleration to low-teens</w:t>
      </w:r>
      <w:r>
        <w:t xml:space="preserve"> </w:t>
      </w:r>
      <w:r>
        <w:t xml:space="preserve">is the crux.</w:t>
      </w:r>
    </w:p>
    <w:p>
      <w:pPr>
        <w:pStyle w:val="BodyText"/>
      </w:pPr>
      <w:r>
        <w:rPr>
          <w:b/>
          <w:bCs/>
        </w:rPr>
        <w:t xml:space="preserve">3. Price/cost and tariffs.</w:t>
      </w:r>
      <w:r>
        <w:t xml:space="preserve"> </w:t>
      </w:r>
      <w:r>
        <w:t xml:space="preserve">In April management flagged</w:t>
      </w:r>
      <w:r>
        <w:t xml:space="preserve"> </w:t>
      </w:r>
      <w:r>
        <w:rPr>
          <w:b/>
          <w:bCs/>
        </w:rPr>
        <w:t xml:space="preserve">more inflation and tariff cost than assumed 90 days prior</w:t>
      </w:r>
      <w:r>
        <w:t xml:space="preserve">, with enterprise price now closer to</w:t>
      </w:r>
      <w:r>
        <w:t xml:space="preserve"> </w:t>
      </w:r>
      <w:r>
        <w:rPr>
          <w:b/>
          <w:bCs/>
        </w:rPr>
        <w:t xml:space="preserve">~2 points</w:t>
      </w:r>
      <w:r>
        <w:t xml:space="preserve"> </w:t>
      </w:r>
      <w:r>
        <w:t xml:space="preserve">(up from ~1.5). They insist it's manageable within the guide given a ~decade-long in-region/for-region strategy (over 95% of U.S.-sold product made/assembled domestically; 20 of 21 Americas plants in the U.S.). Watch for confirmation that price/cost stays neutral-to-positive and margins expand as guided.</w:t>
      </w:r>
    </w:p>
    <w:p>
      <w:r>
        <w:pict>
          <v:rect style="width:0;height:1.5pt" o:hralign="center" o:hrstd="t" o:hr="t"/>
        </w:pict>
      </w:r>
    </w:p>
    <w:bookmarkEnd w:id="13"/>
    <w:bookmarkStart w:id="14" w:name="other-items-on-the-radar"/>
    <w:p>
      <w:pPr>
        <w:pStyle w:val="Heading2"/>
      </w:pPr>
      <w:r>
        <w:t xml:space="preserve">Other items on the radar</w:t>
      </w:r>
    </w:p>
    <w:p>
      <w:pPr>
        <w:pStyle w:val="Compact"/>
        <w:numPr>
          <w:ilvl w:val="0"/>
          <w:numId w:val="1003"/>
        </w:numPr>
      </w:pPr>
      <w:r>
        <w:rPr>
          <w:b/>
          <w:bCs/>
        </w:rPr>
        <w:t xml:space="preserve">Management change:</w:t>
      </w:r>
      <w:r>
        <w:t xml:space="preserve"> </w:t>
      </w:r>
      <w:r>
        <w:t xml:space="preserve">A July 22 8-K disclosed that</w:t>
      </w:r>
      <w:r>
        <w:t xml:space="preserve"> </w:t>
      </w:r>
      <w:r>
        <w:rPr>
          <w:b/>
          <w:bCs/>
        </w:rPr>
        <w:t xml:space="preserve">Global Supply Chain Chief Gary Guo is departing</w:t>
      </w:r>
      <w:r>
        <w:t xml:space="preserve">, with the company waiving a bonus clawback. Worth watching for any commentary, though not obviously thesis-changing.</w:t>
      </w:r>
    </w:p>
    <w:p>
      <w:pPr>
        <w:pStyle w:val="Compact"/>
        <w:numPr>
          <w:ilvl w:val="0"/>
          <w:numId w:val="1003"/>
        </w:numPr>
      </w:pPr>
      <w:r>
        <w:rPr>
          <w:b/>
          <w:bCs/>
        </w:rPr>
        <w:t xml:space="preserve">Data-center franchise build-out:</w:t>
      </w:r>
      <w:r>
        <w:t xml:space="preserve"> </w:t>
      </w:r>
      <w:r>
        <w:t xml:space="preserve">Stellar Energy (targeted to grow from ~</w:t>
      </w:r>
      <m:oMath>
        <m:r>
          <m:t>350</m:t>
        </m:r>
        <m:r>
          <m:t>M</m:t>
        </m:r>
        <m:r>
          <m:t>t</m:t>
        </m:r>
        <m:r>
          <m:t>o</m:t>
        </m:r>
        <m:r>
          <m:t>a</m:t>
        </m:r>
        <m:r>
          <m:rPr>
            <m:sty m:val="p"/>
          </m:rPr>
          <m:t>*</m:t>
        </m:r>
        <m:r>
          <m:rPr>
            <m:sty m:val="p"/>
          </m:rPr>
          <m:t>*</m:t>
        </m:r>
      </m:oMath>
      <w:r>
        <w:t xml:space="preserve">1B+ business in 2–3 years**), LiquidStack (CDUs) and CoolIT expand TT's thermal-management position. Watch for updated Stellar revenue (~$500M expected in 2026) and any color on the large services annuity that follows data-center equipment installs (services are ~1/3 of revenue, growing low-teens).</w:t>
      </w:r>
    </w:p>
    <w:p>
      <w:pPr>
        <w:pStyle w:val="Compact"/>
        <w:numPr>
          <w:ilvl w:val="0"/>
          <w:numId w:val="1003"/>
        </w:numPr>
      </w:pPr>
      <w:r>
        <w:rPr>
          <w:b/>
          <w:bCs/>
        </w:rPr>
        <w:t xml:space="preserve">Transport inflection:</w:t>
      </w:r>
      <w:r>
        <w:t xml:space="preserve"> </w:t>
      </w:r>
      <w:r>
        <w:t xml:space="preserve">Management is more constructive but more gradual than ACT's forecast of a sharp 2027 rebound. Confirmation that Q2 is the trough and orders are inflecting would be an incremental positive for the 2027 story.</w:t>
      </w:r>
    </w:p>
    <w:p>
      <w:pPr>
        <w:pStyle w:val="Compact"/>
        <w:numPr>
          <w:ilvl w:val="0"/>
          <w:numId w:val="1003"/>
        </w:numPr>
      </w:pPr>
      <w:r>
        <w:rPr>
          <w:b/>
          <w:bCs/>
        </w:rPr>
        <w:t xml:space="preserve">Capital allocation:</w:t>
      </w:r>
      <w:r>
        <w:t xml:space="preserve"> </w:t>
      </w:r>
      <w:r>
        <w:t xml:space="preserve">2026 plan to deploy</w:t>
      </w:r>
      <w:r>
        <w:t xml:space="preserve"> </w:t>
      </w:r>
      <w:r>
        <w:rPr>
          <w:b/>
          <w:bCs/>
        </w:rPr>
        <w:t xml:space="preserve">$2.8–3.3B</w:t>
      </w:r>
      <w:r>
        <w:t xml:space="preserve"> </w:t>
      </w:r>
      <w:r>
        <w:t xml:space="preserve">(12% dividend hike to</w:t>
      </w:r>
      <w:r>
        <w:t xml:space="preserve"> </w:t>
      </w:r>
      <m:oMath>
        <m:r>
          <m:t>4.20</m:t>
        </m:r>
        <m:r>
          <m:rPr>
            <m:sty m:val="p"/>
          </m:rPr>
          <m:t>/</m:t>
        </m:r>
        <m:r>
          <m:t>y</m:t>
        </m:r>
        <m:r>
          <m:t>r</m:t>
        </m:r>
        <m:r>
          <m:t>a</m:t>
        </m:r>
        <m:r>
          <m:t>n</m:t>
        </m:r>
        <m:r>
          <m:t>n</m:t>
        </m:r>
        <m:r>
          <m:t>u</m:t>
        </m:r>
        <m:r>
          <m:t>a</m:t>
        </m:r>
        <m:r>
          <m:t>l</m:t>
        </m:r>
        <m:r>
          <m:t>i</m:t>
        </m:r>
        <m:r>
          <m:t>z</m:t>
        </m:r>
        <m:r>
          <m:t>e</m:t>
        </m:r>
        <m:r>
          <m:t>d</m:t>
        </m:r>
        <m:r>
          <m:rPr>
            <m:sty m:val="p"/>
          </m:rPr>
          <m:t>;</m:t>
        </m:r>
        <m:r>
          <m:t> </m:t>
        </m:r>
      </m:oMath>
      <w:r>
        <w:t xml:space="preserve">4.4B buyback authorization remaining). With the stock ~10% off its high, watch whether repurchase pace steps up.</w:t>
      </w:r>
    </w:p>
    <w:p>
      <w:pPr>
        <w:pStyle w:val="Compact"/>
        <w:numPr>
          <w:ilvl w:val="0"/>
          <w:numId w:val="1003"/>
        </w:numPr>
      </w:pPr>
      <w:r>
        <w:rPr>
          <w:b/>
          <w:bCs/>
        </w:rPr>
        <w:t xml:space="preserve">Free cash flow / working capital:</w:t>
      </w:r>
      <w:r>
        <w:t xml:space="preserve"> </w:t>
      </w:r>
      <w:r>
        <w:t xml:space="preserve">Q1 inventories and receivables built as the company ramps for backlog delivery; monitor conversion toward the ≥100% FCF target given elevated CapEx (raised to 2–3% of revenue for capacity expansion).</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Trane is executing at a high level —</w:t>
      </w:r>
      <w:r>
        <w:t xml:space="preserve"> </w:t>
      </w:r>
      <w:r>
        <w:rPr>
          <w:b/>
          <w:bCs/>
        </w:rPr>
        <w:t xml:space="preserve">record backlog, ~70% YoY backlog growth, and a data-center order engine</w:t>
      </w:r>
      <w:r>
        <w:t xml:space="preserve"> </w:t>
      </w:r>
      <w:r>
        <w:t xml:space="preserve">give unusually strong visibility into an H2 revenue acceleration. But the stock enters the print de-rated ~10% off its high on</w:t>
      </w:r>
      <w:r>
        <w:t xml:space="preserve"> </w:t>
      </w:r>
      <w:r>
        <w:rPr>
          <w:b/>
          <w:bCs/>
        </w:rPr>
        <w:t xml:space="preserve">sector-wide HVAC demand fears (Lennox) and a tough prior-year EPS comp</w:t>
      </w:r>
      <w:r>
        <w:t xml:space="preserve">. The quarter itself should land near the guide (~5% organic growth,</w:t>
      </w:r>
      <w:r>
        <w:t xml:space="preserve"> </w:t>
      </w:r>
      <m:oMath>
        <m:r>
          <m:t>4.20</m:t>
        </m:r>
        <m:r>
          <m:rPr>
            <m:sty m:val="p"/>
          </m:rPr>
          <m:t>–</m:t>
        </m:r>
      </m:oMath>
      <w:r>
        <w:t xml:space="preserve">4.25 adjusted EPS), so the reaction will hinge less on the print and more on</w:t>
      </w:r>
      <w:r>
        <w:t xml:space="preserve"> </w:t>
      </w:r>
      <w:r>
        <w:rPr>
          <w:b/>
          <w:bCs/>
        </w:rPr>
        <w:t xml:space="preserve">(1) bookings/backlog durability, (2) the credibility of the second-half acceleration and residential recovery, and (3) whether management raises full-year guidance again or merely reaffirms.</w:t>
      </w:r>
      <w:r>
        <w:t xml:space="preserve"> </w:t>
      </w:r>
      <w:r>
        <w:t xml:space="preserve">In the current tape, a reaffirm-only quarter with any resi caution could be treated harshly; a clean beat-and-raise with sustained data-center bookings would reassert TT's premium.</w:t>
      </w:r>
    </w:p>
    <w:p>
      <w:pPr>
        <w:pStyle w:val="BodyText"/>
      </w:pPr>
      <w:r>
        <w:rPr>
          <w:i/>
          <w:iCs/>
        </w:rPr>
        <w:t xml:space="preserve">Note: Figures reflect company disclosures through the Q1 2026 release/call (April 30, 2026) and recent news; consensus estimates were not available in my sources, so growth framing is anchored to company guidance and prior-year comps.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2026-07-29T18:59:14Z</dcterms:created>
  <dcterms:modified xsi:type="dcterms:W3CDTF">2026-07-29T18:59:14Z</dcterms:modified>
</cp:coreProperties>
</file>

<file path=docProps/custom.xml><?xml version="1.0" encoding="utf-8"?>
<Properties xmlns="http://schemas.openxmlformats.org/officeDocument/2006/custom-properties" xmlns:vt="http://schemas.openxmlformats.org/officeDocument/2006/docPropsVTypes"/>
</file>