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t-earnings-predictions--2026-07-30"/>
    <w:p>
      <w:pPr>
        <w:pStyle w:val="Heading1"/>
      </w:pPr>
      <w:r>
        <w:t xml:space="preserve">TT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~$4.31 vs. cons $4.27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~$6.30B vs. cons $6.20B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Enterprise Adjusted Operating Margin / Incremental Leverage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~24.0% incremental leverage vs. cons ~25% (mid-20s guided)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14.90</m:t>
              </m:r>
              <m:r>
                <m:rPr>
                  <m:sty m:val="p"/>
                </m:rPr>
                <m:t>−</m:t>
              </m:r>
            </m:oMath>
            <w:r>
              <w:t xml:space="preserve">15.10 vs. cons $14.85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Organic Revenue Growth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~7-8% vs. cons ~7%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Tariff/Inflation net cost headwind (enterprise points)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~2.0-2.2 pts vs. cons ~2.0 pts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Residential segment outlook (revenue growth)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~flat to +low-single-digit vs. cons flat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organic revenue growth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~8-9% vs. cons ~7.5%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+3.2% (FOLLOW-THROUGH)</w:t>
            </w:r>
          </w:p>
        </w:tc>
        <w:tc>
          <w:tcPr/>
          <w:p>
            <w:pPr>
              <w:pStyle w:val="Compact"/>
            </w:pPr>
            <w:r>
              <w:t xml:space="preserve">TT's backlog (</w:t>
            </w:r>
            <m:oMath>
              <m:r>
                <m:t>10.7</m:t>
              </m:r>
              <m:r>
                <m:t>B</m:t>
              </m:r>
              <m:r>
                <m:rPr>
                  <m:sty m:val="p"/>
                </m:rPr>
                <m:t>,</m:t>
              </m:r>
              <m:r>
                <m:rPr>
                  <m:sty m:val="p"/>
                </m:rPr>
                <m:t>+</m:t>
              </m:r>
              <m:r>
                <m:t>30</m:t>
              </m:r>
            </m:oMath>
            <w:r>
              <w:t xml:space="preserve">0.10-0.20) combined with corroborating peer prints (CARR, JCI beat/raise) should support sell-side estimate revisions upward over the following days rather than a snap-back fade. The main fade risk (elevated tariff/inflation cost creep already flagged) is a known item, limiting negative surprise, so net drift should continue in the direction of the initial reaction, tempered versus a full follow-through by residential softness (Lennox read-through) and tough Transport comps capping enthusiasm.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2026-07-29T18:57:34Z</dcterms:created>
  <dcterms:modified xsi:type="dcterms:W3CDTF">2026-07-29T18:57:34Z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