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X77bfaba36be3090400233efe2cedd66ee165c3b"/>
    <w:p>
      <w:pPr>
        <w:pStyle w:val="Heading1"/>
      </w:pPr>
      <w:r>
        <w:t xml:space="preserve">Trane Technologies (TT) — Q2 2026 Earnings Preview</w:t>
      </w:r>
    </w:p>
    <w:p>
      <w:pPr>
        <w:pStyle w:val="FirstParagraph"/>
      </w:pPr>
      <w:r>
        <w:rPr>
          <w:b/>
          <w:bCs/>
        </w:rPr>
        <w:t xml:space="preserve">Reports:</w:t>
      </w:r>
      <w:r>
        <w:t xml:space="preserve"> </w:t>
      </w:r>
      <w:r>
        <w:t xml:space="preserve">Thursday, July 30, 2026, before market open</w:t>
      </w:r>
      <w:r>
        <w:t xml:space="preserve"> </w:t>
      </w:r>
      <w:r>
        <w:rPr>
          <w:b/>
          <w:bCs/>
        </w:rPr>
        <w:t xml:space="preserve">Stock into print:</w:t>
      </w:r>
      <w:r>
        <w:t xml:space="preserve"> </w:t>
      </w:r>
      <w:r>
        <w:t xml:space="preserve">~$450.70 (down from a late-June high near</w:t>
      </w:r>
      <w:r>
        <w:t xml:space="preserve"> </w:t>
      </w:r>
      <m:oMath>
        <m:r>
          <m:t>503</m:t>
        </m:r>
        <m:r>
          <m:rPr>
            <m:sty m:val="p"/>
          </m:rPr>
          <m:t>;</m:t>
        </m:r>
        <m:r>
          <m:t>T</m:t>
        </m:r>
        <m:r>
          <m:t>T</m:t>
        </m:r>
        <m:r>
          <m:t>s</m:t>
        </m:r>
        <m:r>
          <m:t>l</m:t>
        </m:r>
        <m:r>
          <m:t>i</m:t>
        </m:r>
        <m:r>
          <m:t>p</m:t>
        </m:r>
        <m:r>
          <m:t>p</m:t>
        </m:r>
        <m:r>
          <m:t>e</m:t>
        </m:r>
        <m:r>
          <m:t>d</m:t>
        </m:r>
        <m:r>
          <m:t>r</m:t>
        </m:r>
        <m:r>
          <m:t>o</m:t>
        </m:r>
        <m:r>
          <m:t>u</m:t>
        </m:r>
        <m:r>
          <m:t>g</m:t>
        </m:r>
        <m:r>
          <m:t>h</m:t>
        </m:r>
        <m:r>
          <m:t>l</m:t>
        </m:r>
        <m:r>
          <m:t>y</m:t>
        </m:r>
        <m:r>
          <m:t>4</m:t>
        </m:r>
        <m:r>
          <m:rPr>
            <m:sty m:val="p"/>
          </m:rPr>
          <m:t>*</m:t>
        </m:r>
        <m:r>
          <m:rPr>
            <m:sty m:val="p"/>
          </m:rPr>
          <m:t>*</m:t>
        </m:r>
        <m:r>
          <m:t>S</m:t>
        </m:r>
        <m:r>
          <m:t>t</m:t>
        </m:r>
        <m:r>
          <m:t>r</m:t>
        </m:r>
        <m:r>
          <m:t>e</m:t>
        </m:r>
        <m:r>
          <m:t>e</m:t>
        </m:r>
        <m:r>
          <m:t>t</m:t>
        </m:r>
        <m:r>
          <m:t>e</m:t>
        </m:r>
        <m:r>
          <m:t>s</m:t>
        </m:r>
        <m:r>
          <m:t>t</m:t>
        </m:r>
        <m:r>
          <m:t>i</m:t>
        </m:r>
        <m:r>
          <m:t>m</m:t>
        </m:r>
        <m:r>
          <m:t>a</m:t>
        </m:r>
        <m:r>
          <m:t>t</m:t>
        </m:r>
        <m:r>
          <m:t>e</m:t>
        </m:r>
        <m:r>
          <m:t>s</m:t>
        </m:r>
        <m:r>
          <m:rPr>
            <m:sty m:val="p"/>
          </m:rPr>
          <m:t>:</m:t>
        </m:r>
        <m:r>
          <m:rPr>
            <m:sty m:val="p"/>
          </m:rPr>
          <m:t>*</m:t>
        </m:r>
        <m:r>
          <m:rPr>
            <m:sty m:val="p"/>
          </m:rPr>
          <m:t>*</m:t>
        </m:r>
        <m:r>
          <m:t> </m:t>
        </m:r>
      </m:oMath>
      <w:r>
        <w:t xml:space="preserve">4.27 adjusted EPS, ~$6.2B revenue</w:t>
      </w:r>
    </w:p>
    <w:p>
      <w:r>
        <w:pict>
          <v:rect style="width:0;height:1.5pt" o:hralign="center" o:hrstd="t" o:hr="t"/>
        </w:pict>
      </w:r>
    </w:p>
    <w:bookmarkStart w:id="9" w:name="X977dbe5e33101bdffbcdcd011e53ac9de076bdd"/>
    <w:p>
      <w:pPr>
        <w:pStyle w:val="Heading2"/>
      </w:pPr>
      <w:r>
        <w:t xml:space="preserve">1. What management told us to expect</w:t>
      </w:r>
    </w:p>
    <w:p>
      <w:pPr>
        <w:pStyle w:val="FirstParagraph"/>
      </w:pPr>
      <w:r>
        <w:t xml:space="preserve">On the Q1 call (April 30), Trane raised full-year guidance on the back of exceptionally strong bookings and gave specific Q2 markers:</w:t>
      </w:r>
    </w:p>
    <w:p>
      <w:pPr>
        <w:pStyle w:val="Compact"/>
        <w:numPr>
          <w:ilvl w:val="0"/>
          <w:numId w:val="1001"/>
        </w:numPr>
      </w:pPr>
      <w:r>
        <w:rPr>
          <w:b/>
          <w:bCs/>
        </w:rPr>
        <w:t xml:space="preserve">Q2 2026 guide:</w:t>
      </w:r>
      <w:r>
        <w:t xml:space="preserve"> </w:t>
      </w:r>
      <w:r>
        <w:t xml:space="preserve">we expect approximately 5% organic revenue growth and adjusted EPS in the range of $4.20 to $4.25</w:t>
      </w:r>
    </w:p>
    <w:p>
      <w:pPr>
        <w:pStyle w:val="Compact"/>
        <w:numPr>
          <w:ilvl w:val="0"/>
          <w:numId w:val="1001"/>
        </w:numPr>
      </w:pPr>
      <w:r>
        <w:rPr>
          <w:b/>
          <w:bCs/>
        </w:rPr>
        <w:t xml:space="preserve">Full-year 2026 guide (raised):</w:t>
      </w:r>
      <w:r>
        <w:t xml:space="preserve"> </w:t>
      </w:r>
      <w:r>
        <w:t xml:space="preserve">We're increasing our organic revenue growth guidance to approximately 7%, the high end of our prior range of approximately 6% to 7%... We're also increasing our adjusted EPS guidance range to $14.75 to $14.95, or approximately 13% to 15% of adjusted EPS growth, up from $14.65 to $14.85 prior</w:t>
      </w:r>
    </w:p>
    <w:p>
      <w:pPr>
        <w:pStyle w:val="FirstParagraph"/>
      </w:pPr>
      <w:r>
        <w:t xml:space="preserve">Notably,</w:t>
      </w:r>
      <w:r>
        <w:t xml:space="preserve"> </w:t>
      </w:r>
      <w:r>
        <w:rPr>
          <w:b/>
          <w:bCs/>
        </w:rPr>
        <w:t xml:space="preserve">current sell-side consensus (~$4.27 EPS) sits at or slightly above the top end of the company's own</w:t>
      </w:r>
      <w:r>
        <w:rPr>
          <w:b/>
          <w:bCs/>
        </w:rPr>
        <w:t xml:space="preserve"> </w:t>
      </w:r>
      <m:oMath>
        <m:r>
          <m:t>4.20</m:t>
        </m:r>
        <m:r>
          <m:rPr>
            <m:sty m:val="p"/>
          </m:rPr>
          <m:t>–</m:t>
        </m:r>
      </m:oMath>
      <w:r>
        <w:rPr>
          <w:b/>
          <w:bCs/>
        </w:rPr>
        <w:t xml:space="preserve">4.25 guide</w:t>
      </w:r>
      <w:r>
        <w:t xml:space="preserve">, so a "beat" this quarter is a higher bar than usual — the market is essentially underwriting upside to management's framework given TT's track record of exceeding its own guidance.</w:t>
      </w:r>
    </w:p>
    <w:p>
      <w:pPr>
        <w:pStyle w:val="BodyText"/>
      </w:pPr>
      <w:r>
        <w:t xml:space="preserve">Revenue growth is expected to be lumpy by segment: management flagged approximately 10% revenue growth in Q2 against a tough prior year comp of mid-teens growth in commercial HVAC, with revenues to accelerate to low teens growth as we move through the second half of the year. Residential was guided to be roughly flattish in Q2, and Transport revenue was expected to be</w:t>
      </w:r>
      <w:r>
        <w:t xml:space="preserve"> </w:t>
      </w:r>
      <w:r>
        <w:rPr>
          <w:b/>
          <w:bCs/>
        </w:rPr>
        <w:t xml:space="preserve">down roughly mid-teens</w:t>
      </w:r>
      <w:r>
        <w:t xml:space="preserve"> </w:t>
      </w:r>
      <w:r>
        <w:t xml:space="preserve">in Q2 due to large-customer delivery timing, even as the full-year transport market view stayed at a mid-single-digit decline.</w:t>
      </w:r>
    </w:p>
    <w:bookmarkEnd w:id="9"/>
    <w:bookmarkStart w:id="10" w:name="Xc884088182796dc3955fa43fba81b0d062aaecd"/>
    <w:p>
      <w:pPr>
        <w:pStyle w:val="Heading2"/>
      </w:pPr>
      <w:r>
        <w:t xml:space="preserve">2. The core bull case: bookings, backlog, and data centers</w:t>
      </w:r>
    </w:p>
    <w:p>
      <w:pPr>
        <w:pStyle w:val="FirstParagraph"/>
      </w:pPr>
      <w:r>
        <w:t xml:space="preserve">Q1 was a blowout quarter for orders. Q1 was another strong quarter, marked by exceptional enterprise organic bookings, up 24% and a record backlog of $10.7 billion, up over 30% versus year-end 2025. The strength was concentrated in Americas Commercial HVAC: Commercial HVAC bookings reached an all-time high, up approximately 40% year-over-year, with Applied Solutions bookings up over 160%. Our third consecutive quarter of applied bookings growth of greater than 100%.</w:t>
      </w:r>
    </w:p>
    <w:p>
      <w:pPr>
        <w:pStyle w:val="BodyText"/>
      </w:pPr>
      <w:r>
        <w:t xml:space="preserve">Data centers remain the headline vertical, but management has repeatedly stressed breadth: it was broad-based... we had growth in the majority of the verticals that we track... 9 of the 14 verticals had positive growth, and 95% plus of our account managers or sales force do not call on data centers. The Stellar Energy (modular data-center chiller plants) and LiquidStack (CDU) acquisitions are central to the data-center thesis — management sees Stellar as a business that in 2 to 3 years is a $1 billion business... with mid-teens plus EBITDA serving many verticals, with about $500 million of Stellar revenue now baked into the 2026 guide.</w:t>
      </w:r>
    </w:p>
    <w:p>
      <w:pPr>
        <w:pStyle w:val="BodyText"/>
      </w:pPr>
      <w:r>
        <w:rPr>
          <w:b/>
          <w:bCs/>
        </w:rPr>
        <w:t xml:space="preserve">Watch for:</w:t>
      </w:r>
      <w:r>
        <w:t xml:space="preserve"> </w:t>
      </w:r>
      <w:r>
        <w:t xml:space="preserve">an updated read on backlog conversion, whether Applied bookings growth (three straight quarters &gt;100%) can persist against increasingly tough comps, and any commentary on data-center capex pacing given mixed reads elsewhere (see peer section below).</w:t>
      </w:r>
    </w:p>
    <w:bookmarkEnd w:id="10"/>
    <w:bookmarkStart w:id="11" w:name="X95f4710d49a14b42b924eb87be971e012b2a773"/>
    <w:p>
      <w:pPr>
        <w:pStyle w:val="Heading2"/>
      </w:pPr>
      <w:r>
        <w:t xml:space="preserve">3. Segments to track</w:t>
      </w:r>
    </w:p>
    <w:p>
      <w:pPr>
        <w:pStyle w:val="Compact"/>
        <w:numPr>
          <w:ilvl w:val="0"/>
          <w:numId w:val="1002"/>
        </w:numPr>
      </w:pPr>
      <w:r>
        <w:rPr>
          <w:b/>
          <w:bCs/>
        </w:rPr>
        <w:t xml:space="preserve">Americas Commercial HVAC:</w:t>
      </w:r>
      <w:r>
        <w:t xml:space="preserve"> </w:t>
      </w:r>
      <w:r>
        <w:t xml:space="preserve">The growth engine. Q1 organic bookings were Strong bookings of $5.5 billion, up 30 percent; organic bookings up 29 percent... Bookings strength led by Americas Commercial HVAC, up approximately 40 percent, with applied equipment bookings up more than 160 percent.</w:t>
      </w:r>
    </w:p>
    <w:p>
      <w:pPr>
        <w:pStyle w:val="Compact"/>
        <w:numPr>
          <w:ilvl w:val="0"/>
          <w:numId w:val="1002"/>
        </w:numPr>
      </w:pPr>
      <w:r>
        <w:rPr>
          <w:b/>
          <w:bCs/>
        </w:rPr>
        <w:t xml:space="preserve">Residential:</w:t>
      </w:r>
      <w:r>
        <w:t xml:space="preserve"> </w:t>
      </w:r>
      <w:r>
        <w:t xml:space="preserve">Q1 came in "better than feared" — Bookings were up low single digits, while revenues declined mid-single digits, exceeding our expectations entering the quarter — leading TT to move its full-year resi view from down-5% to roughly flat, with a</w:t>
      </w:r>
      <w:r>
        <w:t xml:space="preserve"> </w:t>
      </w:r>
      <w:r>
        <w:rPr>
          <w:b/>
          <w:bCs/>
        </w:rPr>
        <w:t xml:space="preserve">mid-single-digit growth expectation for H2</w:t>
      </w:r>
      <w:r>
        <w:t xml:space="preserve"> </w:t>
      </w:r>
      <w:r>
        <w:t xml:space="preserve">on easier comps. This is the segment most exposed to the negative cross-currents from Lennox's print this week (see below), so investors will scrutinize channel inventory and sell-through commentary closely.</w:t>
      </w:r>
    </w:p>
    <w:p>
      <w:pPr>
        <w:pStyle w:val="Compact"/>
        <w:numPr>
          <w:ilvl w:val="0"/>
          <w:numId w:val="1002"/>
        </w:numPr>
      </w:pPr>
      <w:r>
        <w:rPr>
          <w:b/>
          <w:bCs/>
        </w:rPr>
        <w:t xml:space="preserve">Transport (Thermo King):</w:t>
      </w:r>
      <w:r>
        <w:t xml:space="preserve"> </w:t>
      </w:r>
      <w:r>
        <w:t xml:space="preserve">Q1 outperformed a weak market; management still expects a market bottom in H1 2026 with recovery beginning late in the year and building into 2027, driven by an aging fleet and spot rates now exceeding contract rates. Q2 revenue is expected down mid-teens on tough large-customer comps — a headline-scary number that's already flagged and shouldn't surprise if it materializes.</w:t>
      </w:r>
    </w:p>
    <w:p>
      <w:pPr>
        <w:pStyle w:val="Compact"/>
        <w:numPr>
          <w:ilvl w:val="0"/>
          <w:numId w:val="1002"/>
        </w:numPr>
      </w:pPr>
      <w:r>
        <w:rPr>
          <w:b/>
          <w:bCs/>
        </w:rPr>
        <w:t xml:space="preserve">EMEA:</w:t>
      </w:r>
      <w:r>
        <w:t xml:space="preserve"> </w:t>
      </w:r>
      <w:r>
        <w:t xml:space="preserve">Geopolitical disruption is a real, quantified headwind. Management guided to continued headwinds in the second quarter of approximately $50 million in revenues, representing an estimated $0.05 EPS impact in Q2 tied to the Middle East conflict — a clean line item to check off against.</w:t>
      </w:r>
    </w:p>
    <w:p>
      <w:pPr>
        <w:pStyle w:val="Compact"/>
        <w:numPr>
          <w:ilvl w:val="0"/>
          <w:numId w:val="1002"/>
        </w:numPr>
      </w:pPr>
      <w:r>
        <w:rPr>
          <w:b/>
          <w:bCs/>
        </w:rPr>
        <w:t xml:space="preserve">Asia Pacific:</w:t>
      </w:r>
      <w:r>
        <w:t xml:space="preserve"> </w:t>
      </w:r>
      <w:r>
        <w:t xml:space="preserve">China remains soft, but management is still calling Asia flat for the year with upside potential from strength in the rest of Asia (bookings up ~50% ex-China in Q1).</w:t>
      </w:r>
    </w:p>
    <w:bookmarkEnd w:id="11"/>
    <w:bookmarkStart w:id="12" w:name="Xa63e07c8e01c6f53ef297dc62fcf3ffda2df017"/>
    <w:p>
      <w:pPr>
        <w:pStyle w:val="Heading2"/>
      </w:pPr>
      <w:r>
        <w:t xml:space="preserve">4. Margins, tariffs, and cost inflation</w:t>
      </w:r>
    </w:p>
    <w:p>
      <w:pPr>
        <w:pStyle w:val="FirstParagraph"/>
      </w:pPr>
      <w:r>
        <w:t xml:space="preserve">This is likely the most important swing factor for the quarter. As of the Q1 call, tariff/inflation costs had crept higher than expected 90 days prior: On a net basis, we are expecting more inflation, including from raw materials and tariffs in the year than was estimated, say, 90 days ago... Our guide was around 1.5 points back in January. It's probably a little bit higher than that, probably closer to 2 points at the enterprise level now. Management's offset levers are pricing, supplier renegotiation, and its heavily in-region manufacturing footprint (Over 95% of our products sold in the U.S. are manufactured and/or assembled in the U.S.). Given continued tariff headline risk into mid-2026, investors should watch whether price/cost stayed net-positive and whether the ~2-point enterprise price assumption held or needs to move again.</w:t>
      </w:r>
    </w:p>
    <w:p>
      <w:pPr>
        <w:pStyle w:val="BodyText"/>
      </w:pPr>
      <w:r>
        <w:t xml:space="preserve">On leverage, management guided</w:t>
      </w:r>
      <w:r>
        <w:t xml:space="preserve"> </w:t>
      </w:r>
      <w:r>
        <w:rPr>
          <w:b/>
          <w:bCs/>
        </w:rPr>
        <w:t xml:space="preserve">operating leverage to step up from Q1's high-teens level to mid-20s in Q2 and mid-to-high 20s in H2</w:t>
      </w:r>
      <w:r>
        <w:t xml:space="preserve"> </w:t>
      </w:r>
      <w:r>
        <w:t xml:space="preserve">as top-line growth accelerates — a key metric for confirming the back-half acceleration story is intact.</w:t>
      </w:r>
    </w:p>
    <w:bookmarkEnd w:id="12"/>
    <w:bookmarkStart w:id="13" w:name="X0f1914217dca647230d4bd4814f72bca8aa9c4e"/>
    <w:p>
      <w:pPr>
        <w:pStyle w:val="Heading2"/>
      </w:pPr>
      <w:r>
        <w:t xml:space="preserve">5. Capital allocation</w:t>
      </w:r>
    </w:p>
    <w:p>
      <w:pPr>
        <w:pStyle w:val="FirstParagraph"/>
      </w:pPr>
      <w:r>
        <w:t xml:space="preserve">TT reaffirmed a balanced framework: We are on track to deploy between $2.8 billion to $3.3 billion in 2026... approximately $900 million for dividends reflecting a 12% increase to $4.20 per share annualized in 2026, alongside an active M&amp;A pipeline (Stellar, LiquidStack) and approximately $4.4 billion remaining under our current share repurchase authorization. CapEx was also raised to 2–3% of revenue (from 1–2%) to fund Stellar/applied-capacity expansion — watch for any further increase given order strength.</w:t>
      </w:r>
    </w:p>
    <w:bookmarkEnd w:id="13"/>
    <w:bookmarkStart w:id="14" w:name="X8a47bfe15060c62ac7cfb31d1bb5f897696bf31"/>
    <w:p>
      <w:pPr>
        <w:pStyle w:val="Heading2"/>
      </w:pPr>
      <w:r>
        <w:t xml:space="preserve">6. Read-across from this week's HVAC/data-center prints</w:t>
      </w:r>
    </w:p>
    <w:p>
      <w:pPr>
        <w:pStyle w:val="FirstParagraph"/>
      </w:pPr>
      <w:r>
        <w:t xml:space="preserve">TT reports into a noisy peer tape that likely explains some of its pre-earnings weakness:</w:t>
      </w:r>
    </w:p>
    <w:p>
      <w:pPr>
        <w:pStyle w:val="Compact"/>
        <w:numPr>
          <w:ilvl w:val="0"/>
          <w:numId w:val="1003"/>
        </w:numPr>
      </w:pPr>
      <w:r>
        <w:rPr>
          <w:b/>
          <w:bCs/>
        </w:rPr>
        <w:t xml:space="preserve">Carrier (CARR)</w:t>
      </w:r>
      <w:r>
        <w:t xml:space="preserve"> </w:t>
      </w:r>
      <w:r>
        <w:t xml:space="preserve">beat and raised, with extremely robust order momentum, with total orders up approximately 40%, commercial HVAC orders surging ~65%, and data center orders jumping more than 300% — a bullish read-through for commercial/data-center HVAC demand generally.</w:t>
      </w:r>
    </w:p>
    <w:p>
      <w:pPr>
        <w:pStyle w:val="Compact"/>
        <w:numPr>
          <w:ilvl w:val="0"/>
          <w:numId w:val="1003"/>
        </w:numPr>
      </w:pPr>
      <w:r>
        <w:rPr>
          <w:b/>
          <w:bCs/>
        </w:rPr>
        <w:t xml:space="preserve">Johnson Controls (JCI)</w:t>
      </w:r>
      <w:r>
        <w:t xml:space="preserve"> </w:t>
      </w:r>
      <w:r>
        <w:t xml:space="preserve">also beat and raised, posting 10% organic sales growth versus the Street consensus of 6.2%. Orders surged 27%.</w:t>
      </w:r>
    </w:p>
    <w:p>
      <w:pPr>
        <w:pStyle w:val="Compact"/>
        <w:numPr>
          <w:ilvl w:val="0"/>
          <w:numId w:val="1003"/>
        </w:numPr>
      </w:pPr>
      <w:r>
        <w:rPr>
          <w:b/>
          <w:bCs/>
        </w:rPr>
        <w:t xml:space="preserve">Lennox International (LII)</w:t>
      </w:r>
      <w:r>
        <w:t xml:space="preserve">, by contrast,</w:t>
      </w:r>
      <w:r>
        <w:t xml:space="preserve"> </w:t>
      </w:r>
      <w:r>
        <w:rPr>
          <w:b/>
          <w:bCs/>
        </w:rPr>
        <w:t xml:space="preserve">cut full-year EPS guidance</w:t>
      </w:r>
      <w:r>
        <w:t xml:space="preserve"> </w:t>
      </w:r>
      <w:r>
        <w:t xml:space="preserve">and its stock cratered as the HVAC company cut its full-year outlook, with CEO Alok Maskara stating that a recovery in demand for the company's products might not happen until 2027. Since Lennox is almost purely residential/light commercial, this is the most direct read-across risk to TT's Residential segment specifically (already guided conservatively to "flat" for the year) rather than to TT's much larger and stronger Commercial HVAC book.</w:t>
      </w:r>
    </w:p>
    <w:p>
      <w:pPr>
        <w:pStyle w:val="Compact"/>
        <w:numPr>
          <w:ilvl w:val="0"/>
          <w:numId w:val="1003"/>
        </w:numPr>
      </w:pPr>
      <w:r>
        <w:rPr>
          <w:b/>
          <w:bCs/>
        </w:rPr>
        <w:t xml:space="preserve">Vertiv (VRT)</w:t>
      </w:r>
      <w:r>
        <w:t xml:space="preserve">, a data-center infrastructure bellwether, beat on margins but</w:t>
      </w:r>
      <w:r>
        <w:t xml:space="preserve"> </w:t>
      </w:r>
      <w:r>
        <w:rPr>
          <w:b/>
          <w:bCs/>
        </w:rPr>
        <w:t xml:space="preserve">missed on revenue and organic growth</w:t>
      </w:r>
      <w:r>
        <w:t xml:space="preserve"> </w:t>
      </w:r>
      <w:r>
        <w:t xml:space="preserve">(18% organic vs. ~24.7% modeled), even as it raised full-year guidance — a reminder that data-center-exposed names can still see quarter-to-quarter lumpiness in reported revenue even amid strong end-market demand.</w:t>
      </w:r>
    </w:p>
    <w:p>
      <w:pPr>
        <w:pStyle w:val="FirstParagraph"/>
      </w:pPr>
      <w:r>
        <w:t xml:space="preserve">Net effect: the setup heading into TT's print is "commercial HVAC/data center demand is strong (Carrier, JCI confirm), but residential is genuinely soft and delivery timing can create noisy quarterly comps (Lennox, Vertiv)." Given TT's mix skews toward Commercial HVAC and services, it is better positioned than pure resi players, but investors will want confirmation that Residential trends haven't deteriorated further and that revenue recognition timing (a known source of volatility in Transport and now data-center capacity project) didn't create a headline miss despite healthy underlying orders.</w:t>
      </w:r>
    </w:p>
    <w:bookmarkEnd w:id="14"/>
    <w:bookmarkStart w:id="16" w:name="X38fd87812740c4cf9ea1afa7a045c5537c6060d"/>
    <w:p>
      <w:pPr>
        <w:pStyle w:val="Heading2"/>
      </w:pPr>
      <w:r>
        <w:t xml:space="preserve">7. Other items to watch</w:t>
      </w:r>
    </w:p>
    <w:p>
      <w:pPr>
        <w:pStyle w:val="Compact"/>
        <w:numPr>
          <w:ilvl w:val="0"/>
          <w:numId w:val="1004"/>
        </w:numPr>
      </w:pPr>
      <w:r>
        <w:rPr>
          <w:b/>
          <w:bCs/>
        </w:rPr>
        <w:t xml:space="preserve">Leadership change:</w:t>
      </w:r>
      <w:r>
        <w:t xml:space="preserve"> </w:t>
      </w:r>
      <w:r>
        <w:t xml:space="preserve">Trane disclosed on July 22 that its Global Supply Chain Chief, Gary Guo, will depart, with the company waiving a bonus clawback — a governance/succession item worth a question on the call given the importance of supply chain execution to the tariff-mitigation story.</w:t>
      </w:r>
    </w:p>
    <w:p>
      <w:pPr>
        <w:pStyle w:val="Compact"/>
        <w:numPr>
          <w:ilvl w:val="0"/>
          <w:numId w:val="1004"/>
        </w:numPr>
      </w:pPr>
      <w:r>
        <w:rPr>
          <w:b/>
          <w:bCs/>
        </w:rPr>
        <w:t xml:space="preserve">Valuation/sentiment:</w:t>
      </w:r>
      <w:r>
        <w:t xml:space="preserve"> </w:t>
      </w:r>
      <w:r>
        <w:t xml:space="preserve">TT carries a consensus</w:t>
      </w:r>
      <w:r>
        <w:t xml:space="preserve"> </w:t>
      </w:r>
      <w:r>
        <w:rPr>
          <w:b/>
          <w:bCs/>
        </w:rPr>
        <w:t xml:space="preserve">Buy</w:t>
      </w:r>
      <w:r>
        <w:t xml:space="preserve"> </w:t>
      </w:r>
      <w:r>
        <w:t xml:space="preserve">rating with price targets clustered around</w:t>
      </w:r>
      <w:r>
        <w:t xml:space="preserve"> </w:t>
      </w:r>
      <m:oMath>
        <m:r>
          <m:t>509</m:t>
        </m:r>
        <m:r>
          <m:rPr>
            <m:sty m:val="p"/>
          </m:rPr>
          <m:t>–</m:t>
        </m:r>
      </m:oMath>
      <w:r>
        <w:rPr>
          <w:b/>
          <w:bCs/>
        </w:rPr>
        <w:t xml:space="preserve">522</w:t>
      </w:r>
      <w:r>
        <w:t xml:space="preserve">, implying roughly 13–16% upside from the pre-earnings price near</w:t>
      </w:r>
      <w:r>
        <w:t xml:space="preserve"> </w:t>
      </w:r>
      <m:oMath>
        <m:r>
          <m:t>450.70</m:t>
        </m:r>
        <m:r>
          <m:rPr>
            <m:sty m:val="p"/>
          </m:rPr>
          <m:t>.</m:t>
        </m:r>
        <m:r>
          <m:t>T</m:t>
        </m:r>
        <m:r>
          <m:t>h</m:t>
        </m:r>
        <m:r>
          <m:t>e</m:t>
        </m:r>
        <m:r>
          <m:t>s</m:t>
        </m:r>
        <m:r>
          <m:t>t</m:t>
        </m:r>
        <m:r>
          <m:t>o</m:t>
        </m:r>
        <m:r>
          <m:t>c</m:t>
        </m:r>
        <m:r>
          <m:t>k</m:t>
        </m:r>
        <m:r>
          <m:t>i</m:t>
        </m:r>
        <m:r>
          <m:t>s</m:t>
        </m:r>
        <m:r>
          <m:t>u</m:t>
        </m:r>
        <m:r>
          <m:t>p</m:t>
        </m:r>
        <m:r>
          <m:t>o</m:t>
        </m:r>
        <m:r>
          <m:t>v</m:t>
        </m:r>
        <m:r>
          <m:t>e</m:t>
        </m:r>
        <m:r>
          <m:t>r</m:t>
        </m:r>
        <m:r>
          <m:t>13</m:t>
        </m:r>
      </m:oMath>
      <w:r>
        <w:t xml:space="preserve">503) amid rotation and peer-related jitters — leaving room for a re-rate higher on a clean beat-and-raise or further de-rating if residential/tariff commentary disappoints.</w:t>
      </w:r>
    </w:p>
    <w:p>
      <w:r>
        <w:pict>
          <v:rect style="width:0;height:1.5pt" o:hralign="center" o:hrstd="t" o:hr="t"/>
        </w:pict>
      </w:r>
    </w:p>
    <w:bookmarkStart w:id="15" w:name="bottom-line-for-investors"/>
    <w:p>
      <w:pPr>
        <w:pStyle w:val="Heading3"/>
      </w:pPr>
      <w:r>
        <w:t xml:space="preserve">Bottom line for investors</w:t>
      </w:r>
    </w:p>
    <w:p>
      <w:pPr>
        <w:pStyle w:val="FirstParagraph"/>
      </w:pPr>
      <w:r>
        <w:t xml:space="preserve">The setup is straightforward: TT's bookings and backlog story (record</w:t>
      </w:r>
      <w:r>
        <w:t xml:space="preserve"> </w:t>
      </w:r>
      <m:oMath>
        <m:r>
          <m:t>10.7</m:t>
        </m:r>
        <m:r>
          <m:t>B</m:t>
        </m:r>
        <m:r>
          <m:t>b</m:t>
        </m:r>
        <m:r>
          <m:t>a</m:t>
        </m:r>
        <m:r>
          <m:t>c</m:t>
        </m:r>
        <m:r>
          <m:t>k</m:t>
        </m:r>
        <m:r>
          <m:t>l</m:t>
        </m:r>
        <m:r>
          <m:t>o</m:t>
        </m:r>
        <m:r>
          <m:t>g</m:t>
        </m:r>
        <m:r>
          <m:rPr>
            <m:sty m:val="p"/>
          </m:rPr>
          <m:t>,</m:t>
        </m:r>
        <m:r>
          <m:t>A</m:t>
        </m:r>
        <m:r>
          <m:t>p</m:t>
        </m:r>
        <m:r>
          <m:t>p</m:t>
        </m:r>
        <m:r>
          <m:t>l</m:t>
        </m:r>
        <m:r>
          <m:t>i</m:t>
        </m:r>
        <m:r>
          <m:t>e</m:t>
        </m:r>
        <m:r>
          <m:t>d</m:t>
        </m:r>
        <m:r>
          <m:t>H</m:t>
        </m:r>
        <m:r>
          <m:t>V</m:t>
        </m:r>
        <m:r>
          <m:t>A</m:t>
        </m:r>
        <m:r>
          <m:t>C</m:t>
        </m:r>
        <m:r>
          <m:t>b</m:t>
        </m:r>
        <m:r>
          <m:t>o</m:t>
        </m:r>
        <m:r>
          <m:t>o</m:t>
        </m:r>
        <m:r>
          <m:t>k</m:t>
        </m:r>
        <m:r>
          <m:t>i</m:t>
        </m:r>
        <m:r>
          <m:t>n</m:t>
        </m:r>
        <m:r>
          <m:t>g</m:t>
        </m:r>
        <m:r>
          <m:t>s</m:t>
        </m:r>
        <m:r>
          <m:rPr>
            <m:sty m:val="p"/>
          </m:rPr>
          <m:t>+</m:t>
        </m:r>
        <m:r>
          <m:t>160</m:t>
        </m:r>
      </m:oMath>
      <w:r>
        <w:t xml:space="preserve">4.20–$4.25) despite tough Transport and EMEA (Middle East) comps, (2) whether tariff/inflation costs have been fully offset by price actions (now ~2 points enterprise-wide), and (3) any incremental commentary on Residential demand given Lennox's warning that a meaningful recovery may not arrive until 2027. A raise to full-year guidance — which would extend a now well-established pattern — would likely be well received, while any wavering on the H2 acceleration/margin-leverage framework would be the main risk to the stock's premium multiple.</w:t>
      </w:r>
    </w:p>
    <w:bookmarkEnd w:id="15"/>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2026-07-29T18:57:34Z</dcterms:created>
  <dcterms:modified xsi:type="dcterms:W3CDTF">2026-07-29T18:57:34Z</dcterms:modified>
</cp:coreProperties>
</file>

<file path=docProps/custom.xml><?xml version="1.0" encoding="utf-8"?>
<Properties xmlns="http://schemas.openxmlformats.org/officeDocument/2006/custom-properties" xmlns:vt="http://schemas.openxmlformats.org/officeDocument/2006/docPropsVTypes"/>
</file>