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t-earnings-predictions--2026-07-30"/>
    <w:p>
      <w:pPr>
        <w:pStyle w:val="Heading1"/>
      </w:pPr>
      <w:r>
        <w:t xml:space="preserve">TT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~$4.32 vs. cons $4.26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~$6.26B vs. cons $6.18B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organic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~5.7% vs. cons 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~$15.05 vs. cons $14.89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~7.0% vs. cons 7.0%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Second-half organic operating leverage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~27% vs. cons 26% (2H26)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+1.4% (FADE)</w:t>
            </w:r>
          </w:p>
        </w:tc>
        <w:tc>
          <w:tcPr/>
          <w:p>
            <w:pPr>
              <w:pStyle w:val="Compact"/>
            </w:pPr>
            <w:r>
              <w:t xml:space="preserve">The likely EPS raise is partly Q2 beat flow-through: a ~</w:t>
            </w:r>
            <m:oMath>
              <m:r>
                <m:t>15.05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l</m:t>
              </m:r>
              <m:r>
                <m:t>e</m:t>
              </m:r>
              <m:r>
                <m:t>s</m:t>
              </m:r>
              <m:r>
                <m:t>s</m:t>
              </m:r>
              <m:r>
                <m:t>p</m:t>
              </m:r>
              <m:r>
                <m:t>r</m:t>
              </m:r>
              <m:r>
                <m:t>e</m:t>
              </m:r>
              <m:r>
                <m:t>d</m:t>
              </m:r>
              <m:r>
                <m:t>i</m:t>
              </m:r>
              <m:r>
                <m:t>c</m:t>
              </m:r>
              <m:r>
                <m:t>t</m:t>
              </m:r>
              <m:r>
                <m:t>e</m:t>
              </m:r>
              <m:r>
                <m:t>d</m:t>
              </m:r>
              <m:r>
                <m:t>Q</m:t>
              </m:r>
              <m:r>
                <m:t>1</m:t>
              </m:r>
              <m:r>
                <m:rPr>
                  <m:sty m:val="p"/>
                </m:rPr>
                <m:t>–</m:t>
              </m:r>
              <m:r>
                <m:t>Q</m:t>
              </m:r>
              <m:r>
                <m:t>2</m:t>
              </m:r>
              <m:r>
                <m:t>E</m:t>
              </m:r>
              <m:r>
                <m:t>P</m:t>
              </m:r>
              <m:r>
                <m:t>S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6.95 implies ~$8.10 for 2H26 versus roughly $8.00 embedded in prior consensus. That supports modest revisions, but limited out-period upside, premium valuation and peer margin concerns should fade part of the initial relief rally.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2026-07-29T18:57:24Z</dcterms:created>
  <dcterms:modified xsi:type="dcterms:W3CDTF">2026-07-29T18:57:24Z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