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77bfaba36be3090400233efe2cedd66ee165c3b"/>
    <w:p>
      <w:pPr>
        <w:pStyle w:val="Heading1"/>
      </w:pPr>
      <w:r>
        <w:t xml:space="preserve">Trane Technologies (TT) — Q2 2026 Earnings Preview</w:t>
      </w:r>
    </w:p>
    <w:p>
      <w:pPr>
        <w:pStyle w:val="FirstParagraph"/>
      </w:pPr>
      <w:r>
        <w:rPr>
          <w:b/>
          <w:bCs/>
        </w:rPr>
        <w:t xml:space="preserve">Report date:</w:t>
      </w:r>
      <w:r>
        <w:t xml:space="preserve"> </w:t>
      </w:r>
      <w:r>
        <w:t xml:space="preserve">Thursday, July 30, 2026, before the market opens</w:t>
      </w:r>
      <w:r>
        <w:br/>
      </w:r>
      <w:r>
        <w:rPr>
          <w:b/>
          <w:bCs/>
        </w:rPr>
        <w:t xml:space="preserve">Earnings call:</w:t>
      </w:r>
      <w:r>
        <w:t xml:space="preserve"> </w:t>
      </w:r>
      <w:r>
        <w:t xml:space="preserve">10:00 a.m. ET (</w:t>
      </w:r>
      <w:hyperlink r:id="rId9">
        <w:r>
          <w:rPr>
            <w:rStyle w:val="Hyperlink"/>
          </w:rPr>
          <w:t xml:space="preserve">investors.tranetechnologies.com</w:t>
        </w:r>
      </w:hyperlink>
      <w:r>
        <w:t xml:space="preserve">)</w:t>
      </w:r>
    </w:p>
    <w:bookmarkStart w:id="10" w:name="executive-view"/>
    <w:p>
      <w:pPr>
        <w:pStyle w:val="Heading2"/>
      </w:pPr>
      <w:r>
        <w:t xml:space="preserve">Executive view</w:t>
      </w:r>
    </w:p>
    <w:p>
      <w:pPr>
        <w:pStyle w:val="FirstParagraph"/>
      </w:pPr>
      <w:r>
        <w:t xml:space="preserve">Trane enters Q2 with one of the strongest demand setups in the industrial sector: record backlog, exceptional Commercial HVAC orders and rising exposure to data-center cooling. The principal question is no longer whether demand is healthy. It is whether Trane can convert that demand into revenue and earnings while protecting margins against tariffs, inflation, acquisition costs and an unfavorable business mix.</w:t>
      </w:r>
    </w:p>
    <w:p>
      <w:pPr>
        <w:pStyle w:val="BodyText"/>
      </w:pPr>
      <w:r>
        <w:t xml:space="preserve">The quarterly numbers are unlikely to be enough on their own. Investors will focus on:</w:t>
      </w:r>
    </w:p>
    <w:p>
      <w:pPr>
        <w:pStyle w:val="Compact"/>
        <w:numPr>
          <w:ilvl w:val="0"/>
          <w:numId w:val="1001"/>
        </w:numPr>
      </w:pPr>
      <w:r>
        <w:rPr>
          <w:b/>
          <w:bCs/>
        </w:rPr>
        <w:t xml:space="preserve">The durability and quality of Commercial HVAC bookings</w:t>
      </w:r>
    </w:p>
    <w:p>
      <w:pPr>
        <w:pStyle w:val="Compact"/>
        <w:numPr>
          <w:ilvl w:val="0"/>
          <w:numId w:val="1001"/>
        </w:numPr>
      </w:pPr>
      <w:r>
        <w:rPr>
          <w:b/>
          <w:bCs/>
        </w:rPr>
        <w:t xml:space="preserve">Backlog conversion and the promised second-half revenue acceleration</w:t>
      </w:r>
    </w:p>
    <w:p>
      <w:pPr>
        <w:pStyle w:val="Compact"/>
        <w:numPr>
          <w:ilvl w:val="0"/>
          <w:numId w:val="1001"/>
        </w:numPr>
      </w:pPr>
      <w:r>
        <w:rPr>
          <w:b/>
          <w:bCs/>
        </w:rPr>
        <w:t xml:space="preserve">Margins and price/cost execution</w:t>
      </w:r>
    </w:p>
    <w:p>
      <w:pPr>
        <w:pStyle w:val="Compact"/>
        <w:numPr>
          <w:ilvl w:val="0"/>
          <w:numId w:val="1001"/>
        </w:numPr>
      </w:pPr>
      <w:r>
        <w:rPr>
          <w:b/>
          <w:bCs/>
        </w:rPr>
        <w:t xml:space="preserve">Residential HVAC demand following conflicting peer results</w:t>
      </w:r>
    </w:p>
    <w:p>
      <w:pPr>
        <w:pStyle w:val="Compact"/>
        <w:numPr>
          <w:ilvl w:val="0"/>
          <w:numId w:val="1001"/>
        </w:numPr>
      </w:pPr>
      <w:r>
        <w:rPr>
          <w:b/>
          <w:bCs/>
        </w:rPr>
        <w:t xml:space="preserve">Whether management raises full-year guidance again</w:t>
      </w:r>
    </w:p>
    <w:p>
      <w:pPr>
        <w:pStyle w:val="FirstParagraph"/>
      </w:pPr>
      <w:r>
        <w:t xml:space="preserve">My view is that expectations call for a clean quarter and at least a modest guidance increase. A simple in-line report with unchanged guidance could be received coolly given TT’s premium valuation.</w:t>
      </w:r>
    </w:p>
    <w:p>
      <w:r>
        <w:pict>
          <v:rect style="width:0;height:1.5pt" o:hralign="center" o:hrstd="t" o:hr="t"/>
        </w:pict>
      </w:r>
    </w:p>
    <w:bookmarkEnd w:id="10"/>
    <w:bookmarkStart w:id="13" w:name="expectations-and-managements-hurdle"/>
    <w:p>
      <w:pPr>
        <w:pStyle w:val="Heading2"/>
      </w:pPr>
      <w:r>
        <w:t xml:space="preserve">Expectations and management’s hurdle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$6.18B</w:t>
            </w:r>
          </w:p>
        </w:tc>
        <w:tc>
          <w:tcPr/>
          <w:p>
            <w:pPr>
              <w:pStyle w:val="Compact"/>
              <w:jc w:val="right"/>
            </w:pPr>
            <w:r>
              <w:t xml:space="preserve">$5.75B</w:t>
            </w:r>
          </w:p>
        </w:tc>
        <w:tc>
          <w:tcPr/>
          <w:p>
            <w:pPr>
              <w:pStyle w:val="Compact"/>
              <w:jc w:val="right"/>
            </w:pPr>
            <w:r>
              <w:t xml:space="preserve">Approximately</w:t>
            </w:r>
            <w:r>
              <w:t xml:space="preserve"> </w:t>
            </w:r>
            <w:r>
              <w:rPr>
                <w:b/>
                <w:bCs/>
              </w:rPr>
              <w:t xml:space="preserve">8%</w:t>
            </w:r>
          </w:p>
        </w:tc>
      </w:tr>
      <w:tr>
        <w:tc>
          <w:tcPr/>
          <w:p>
            <w:pPr>
              <w:pStyle w:val="Compact"/>
            </w:pPr>
            <w:r>
              <w:t xml:space="preserve">Adjusted EPS</w:t>
            </w:r>
          </w:p>
        </w:tc>
        <w:tc>
          <w:tcPr/>
          <w:p>
            <w:pPr>
              <w:pStyle w:val="Compact"/>
              <w:jc w:val="right"/>
            </w:pPr>
            <w:r>
              <w:t xml:space="preserve">Approximately</w:t>
            </w:r>
            <w:r>
              <w:t xml:space="preserve"> </w:t>
            </w:r>
            <m:oMath>
              <m:r>
                <m:t>4.25</m:t>
              </m:r>
              <m:r>
                <m:rPr>
                  <m:sty m:val="p"/>
                </m:rPr>
                <m:t>–</m:t>
              </m:r>
            </m:oMath>
            <w:r>
              <w:rPr>
                <w:b/>
                <w:bCs/>
              </w:rPr>
              <w:t xml:space="preserve">4.27</w:t>
            </w:r>
          </w:p>
        </w:tc>
        <w:tc>
          <w:tcPr/>
          <w:p>
            <w:pPr>
              <w:pStyle w:val="Compact"/>
              <w:jc w:val="right"/>
            </w:pPr>
            <w:r>
              <w:t xml:space="preserve">$3.88</w:t>
            </w:r>
          </w:p>
        </w:tc>
        <w:tc>
          <w:tcPr/>
          <w:p>
            <w:pPr>
              <w:pStyle w:val="Compact"/>
              <w:jc w:val="right"/>
            </w:pPr>
            <w:r>
              <w:t xml:space="preserve">Approximately</w:t>
            </w:r>
            <w:r>
              <w:t xml:space="preserve"> </w:t>
            </w:r>
            <w:r>
              <w:rPr>
                <w:b/>
                <w:bCs/>
              </w:rPr>
              <w:t xml:space="preserve">10%</w:t>
            </w:r>
          </w:p>
        </w:tc>
      </w:tr>
      <w:tr>
        <w:tc>
          <w:tcPr/>
          <w:p>
            <w:pPr>
              <w:pStyle w:val="Compact"/>
            </w:pPr>
            <w:r>
              <w:t xml:space="preserve">Organic revenue growth</w:t>
            </w:r>
          </w:p>
        </w:tc>
        <w:tc>
          <w:tcPr/>
          <w:p>
            <w:pPr>
              <w:pStyle w:val="Compact"/>
              <w:jc w:val="right"/>
            </w:pPr>
            <w:r>
              <w:t xml:space="preserve">Management guide: approximately</w:t>
            </w:r>
            <w:r>
              <w:t xml:space="preserve"> </w:t>
            </w:r>
            <w:r>
              <w:rPr>
                <w:b/>
                <w:bCs/>
              </w:rPr>
              <w:t xml:space="preserve">5%</w:t>
            </w:r>
          </w:p>
        </w:tc>
        <w:tc>
          <w:tcPr/>
          <w:p>
            <w:pPr>
              <w:pStyle w:val="Compact"/>
              <w:jc w:val="right"/>
            </w:pPr>
            <w:r>
              <w:t xml:space="preserve">7%</w:t>
            </w:r>
          </w:p>
        </w:tc>
        <w:tc>
          <w:tcPr/>
          <w:p>
            <w:pPr>
              <w:pStyle w:val="Compact"/>
              <w:jc w:val="right"/>
            </w:pPr>
            <w:r>
              <w:t xml:space="preserve">—</w:t>
            </w:r>
          </w:p>
        </w:tc>
      </w:tr>
      <w:tr>
        <w:tc>
          <w:tcPr/>
          <w:p>
            <w:pPr>
              <w:pStyle w:val="Compact"/>
            </w:pPr>
            <w:r>
              <w:t xml:space="preserve">FY26 adjusted EPS</w:t>
            </w:r>
          </w:p>
        </w:tc>
        <w:tc>
          <w:tcPr/>
          <w:p>
            <w:pPr>
              <w:pStyle w:val="Compact"/>
              <w:jc w:val="right"/>
            </w:pPr>
            <w:r>
              <w:t xml:space="preserve">Current guide:</w:t>
            </w:r>
            <w:r>
              <w:t xml:space="preserve"> </w:t>
            </w:r>
            <m:oMath>
              <m:r>
                <m:t>14.75</m:t>
              </m:r>
              <m:r>
                <m:rPr>
                  <m:sty m:val="p"/>
                </m:rPr>
                <m:t>–</m:t>
              </m:r>
            </m:oMath>
            <w:r>
              <w:rPr>
                <w:b/>
                <w:bCs/>
              </w:rPr>
              <w:t xml:space="preserve">14.95</w:t>
            </w:r>
          </w:p>
        </w:tc>
        <w:tc>
          <w:tcPr/>
          <w:p>
            <w:pPr>
              <w:pStyle w:val="Compact"/>
              <w:jc w:val="right"/>
            </w:pPr>
            <w:r>
              <w:t xml:space="preserve">$13.06 in FY25</w:t>
            </w:r>
          </w:p>
        </w:tc>
        <w:tc>
          <w:tcPr/>
          <w:p>
            <w:pPr>
              <w:pStyle w:val="Compact"/>
              <w:jc w:val="right"/>
            </w:pPr>
            <w:r>
              <w:t xml:space="preserve">13%–15%</w:t>
            </w:r>
          </w:p>
        </w:tc>
      </w:tr>
      <w:tr>
        <w:tc>
          <w:tcPr/>
          <w:p>
            <w:pPr>
              <w:pStyle w:val="Compact"/>
            </w:pPr>
            <w:r>
              <w:t xml:space="preserve">FY26 organic revenue growth</w:t>
            </w:r>
          </w:p>
        </w:tc>
        <w:tc>
          <w:tcPr/>
          <w:p>
            <w:pPr>
              <w:pStyle w:val="Compact"/>
              <w:jc w:val="right"/>
            </w:pPr>
            <w:r>
              <w:t xml:space="preserve">Approximately</w:t>
            </w:r>
            <w:r>
              <w:t xml:space="preserve"> </w:t>
            </w:r>
            <w:r>
              <w:rPr>
                <w:b/>
                <w:bCs/>
              </w:rPr>
              <w:t xml:space="preserve">7%</w:t>
            </w:r>
          </w:p>
        </w:tc>
        <w:tc>
          <w:tcPr/>
          <w:p>
            <w:pPr>
              <w:pStyle w:val="Compact"/>
              <w:jc w:val="right"/>
            </w:pPr>
            <w:r>
              <w:t xml:space="preserve">—</w:t>
            </w:r>
          </w:p>
        </w:tc>
        <w:tc>
          <w:tcPr/>
          <w:p>
            <w:pPr>
              <w:pStyle w:val="Compact"/>
              <w:jc w:val="right"/>
            </w:pPr>
            <w:r>
              <w:t xml:space="preserve">—</w:t>
            </w:r>
          </w:p>
        </w:tc>
      </w:tr>
      <w:tr>
        <w:tc>
          <w:tcPr/>
          <w:p>
            <w:pPr>
              <w:pStyle w:val="Compact"/>
            </w:pPr>
            <w:r>
              <w:t xml:space="preserve">FY26 reported revenue growth</w:t>
            </w:r>
          </w:p>
        </w:tc>
        <w:tc>
          <w:tcPr/>
          <w:p>
            <w:pPr>
              <w:pStyle w:val="Compact"/>
              <w:jc w:val="right"/>
            </w:pPr>
            <w:r>
              <w:t xml:space="preserve">Approximately</w:t>
            </w:r>
            <w:r>
              <w:t xml:space="preserve"> </w:t>
            </w:r>
            <w:r>
              <w:rPr>
                <w:b/>
                <w:bCs/>
              </w:rPr>
              <w:t xml:space="preserve">9.5%</w:t>
            </w:r>
          </w:p>
        </w:tc>
        <w:tc>
          <w:tcPr/>
          <w:p>
            <w:pPr>
              <w:pStyle w:val="Compact"/>
              <w:jc w:val="right"/>
            </w:pPr>
            <w:r>
              <w:t xml:space="preserve">—</w:t>
            </w:r>
          </w:p>
        </w:tc>
        <w:tc>
          <w:tcPr/>
          <w:p>
            <w:pPr>
              <w:pStyle w:val="Compact"/>
              <w:jc w:val="right"/>
            </w:pPr>
            <w:r>
              <w:t xml:space="preserve">—</w:t>
            </w:r>
          </w:p>
        </w:tc>
      </w:tr>
    </w:tbl>
    <w:p>
      <w:pPr>
        <w:pStyle w:val="BodyText"/>
      </w:pPr>
      <w:r>
        <w:t xml:space="preserve">Consensus sources differ slightly on EPS, with estimates around</w:t>
      </w:r>
      <w:r>
        <w:t xml:space="preserve"> </w:t>
      </w:r>
      <m:oMath>
        <m:r>
          <m:t>4.25</m:t>
        </m:r>
        <m:r>
          <m:rPr>
            <m:sty m:val="p"/>
          </m:rPr>
          <m:t>–</m:t>
        </m:r>
      </m:oMath>
      <w:r>
        <w:t xml:space="preserve">4.27 and revenue near $6.18 billion. The consensus EPS forecast is therefore slightly above management’s prior Q2 range of</w:t>
      </w:r>
      <w:r>
        <w:t xml:space="preserve"> </w:t>
      </w:r>
      <m:oMath>
        <m:r>
          <m:t>4.20</m:t>
        </m:r>
        <m:r>
          <m:rPr>
            <m:sty m:val="p"/>
          </m:rPr>
          <m:t>–</m:t>
        </m:r>
      </m:oMath>
      <w:r>
        <w:t xml:space="preserve">4.25. (</w:t>
      </w:r>
      <w:hyperlink r:id="rId11">
        <w:r>
          <w:rPr>
            <w:rStyle w:val="Hyperlink"/>
          </w:rPr>
          <w:t xml:space="preserve">benzinga.com</w:t>
        </w:r>
      </w:hyperlink>
      <w:r>
        <w:t xml:space="preserve">)</w:t>
      </w:r>
    </w:p>
    <w:p>
      <w:pPr>
        <w:pStyle w:val="BodyText"/>
      </w:pPr>
      <w:r>
        <w:t xml:space="preserve">The revenue consensus essentially reflects management’s existing framework: roughly 5% organic growth plus acquisition and foreign-exchange benefits. Full-year consensus of approximately $14.89 is almost exactly at the midpoint of the current guidance range, leaving little room for a merely in-line outlook. (</w:t>
      </w:r>
      <w:hyperlink r:id="rId12">
        <w:r>
          <w:rPr>
            <w:rStyle w:val="Hyperlink"/>
          </w:rPr>
          <w:t xml:space="preserve">barchart.com</w:t>
        </w:r>
      </w:hyperlink>
      <w:r>
        <w:t xml:space="preserve">)</w:t>
      </w:r>
    </w:p>
    <w:p>
      <w:r>
        <w:pict>
          <v:rect style="width:0;height:1.5pt" o:hralign="center" o:hrstd="t" o:hr="t"/>
        </w:pict>
      </w:r>
    </w:p>
    <w:bookmarkEnd w:id="13"/>
    <w:bookmarkStart w:id="15" w:name="the-setup-from-q1"/>
    <w:p>
      <w:pPr>
        <w:pStyle w:val="Heading2"/>
      </w:pPr>
      <w:r>
        <w:t xml:space="preserve">The setup from Q1</w:t>
      </w:r>
    </w:p>
    <w:p>
      <w:pPr>
        <w:pStyle w:val="FirstParagraph"/>
      </w:pPr>
      <w:r>
        <w:t xml:space="preserve">TT’s first quarter established a high bar:</w:t>
      </w:r>
    </w:p>
    <w:p>
      <w:pPr>
        <w:pStyle w:val="Compact"/>
        <w:numPr>
          <w:ilvl w:val="0"/>
          <w:numId w:val="1002"/>
        </w:numPr>
      </w:pPr>
      <w:r>
        <w:t xml:space="preserve">Organic bookings increased</w:t>
      </w:r>
      <w:r>
        <w:t xml:space="preserve"> </w:t>
      </w:r>
      <w:r>
        <w:rPr>
          <w:b/>
          <w:bCs/>
        </w:rPr>
        <w:t xml:space="preserve">24%</w:t>
      </w:r>
    </w:p>
    <w:p>
      <w:pPr>
        <w:pStyle w:val="Compact"/>
        <w:numPr>
          <w:ilvl w:val="0"/>
          <w:numId w:val="1002"/>
        </w:numPr>
      </w:pPr>
      <w:r>
        <w:t xml:space="preserve">Americas Commercial HVAC bookings rose approximately</w:t>
      </w:r>
      <w:r>
        <w:t xml:space="preserve"> </w:t>
      </w:r>
      <w:r>
        <w:rPr>
          <w:b/>
          <w:bCs/>
        </w:rPr>
        <w:t xml:space="preserve">40%</w:t>
      </w:r>
    </w:p>
    <w:p>
      <w:pPr>
        <w:pStyle w:val="Compact"/>
        <w:numPr>
          <w:ilvl w:val="0"/>
          <w:numId w:val="1002"/>
        </w:numPr>
      </w:pPr>
      <w:r>
        <w:t xml:space="preserve">Applied-equipment bookings increased more than</w:t>
      </w:r>
      <w:r>
        <w:t xml:space="preserve"> </w:t>
      </w:r>
      <w:r>
        <w:rPr>
          <w:b/>
          <w:bCs/>
        </w:rPr>
        <w:t xml:space="preserve">160%</w:t>
      </w:r>
    </w:p>
    <w:p>
      <w:pPr>
        <w:pStyle w:val="Compact"/>
        <w:numPr>
          <w:ilvl w:val="0"/>
          <w:numId w:val="1002"/>
        </w:numPr>
      </w:pPr>
      <w:r>
        <w:t xml:space="preserve">Backlog reached a record</w:t>
      </w:r>
      <w:r>
        <w:t xml:space="preserve"> </w:t>
      </w:r>
      <w:r>
        <w:rPr>
          <w:b/>
          <w:bCs/>
        </w:rPr>
        <w:t xml:space="preserve">$10.7 billion</w:t>
      </w:r>
      <w:r>
        <w:t xml:space="preserve">, up more than 30% from year-end</w:t>
      </w:r>
    </w:p>
    <w:p>
      <w:pPr>
        <w:pStyle w:val="Compact"/>
        <w:numPr>
          <w:ilvl w:val="0"/>
          <w:numId w:val="1002"/>
        </w:numPr>
      </w:pPr>
      <w:r>
        <w:t xml:space="preserve">Organic revenue grew 3%</w:t>
      </w:r>
    </w:p>
    <w:p>
      <w:pPr>
        <w:pStyle w:val="Compact"/>
        <w:numPr>
          <w:ilvl w:val="0"/>
          <w:numId w:val="1002"/>
        </w:numPr>
      </w:pPr>
      <w:r>
        <w:t xml:space="preserve">Adjusted EPS increased 7% to $2.63</w:t>
      </w:r>
    </w:p>
    <w:p>
      <w:pPr>
        <w:pStyle w:val="Compact"/>
        <w:numPr>
          <w:ilvl w:val="0"/>
          <w:numId w:val="1002"/>
        </w:numPr>
      </w:pPr>
      <w:r>
        <w:t xml:space="preserve">Adjusted operating margin slipped 20 basis points to 16.0% (</w:t>
      </w:r>
      <w:hyperlink r:id="rId14">
        <w:r>
          <w:rPr>
            <w:rStyle w:val="Hyperlink"/>
          </w:rPr>
          <w:t xml:space="preserve">investors.tranetechnologies.com</w:t>
        </w:r>
      </w:hyperlink>
      <w:r>
        <w:t xml:space="preserve">)</w:t>
      </w:r>
    </w:p>
    <w:p>
      <w:pPr>
        <w:pStyle w:val="FirstParagraph"/>
      </w:pPr>
      <w:r>
        <w:t xml:space="preserve">Approximately two-thirds of the nearly $3 billion sequential backlog increase was organic, with most of the acquired backlog coming from Stellar Energy. Management said the backlog supports an acceleration in Commercial HVAC revenue during the second half, when customer-requested delivery dates become more favorable.</w:t>
      </w:r>
    </w:p>
    <w:p>
      <w:pPr>
        <w:pStyle w:val="BodyText"/>
      </w:pPr>
      <w:r>
        <w:t xml:space="preserve">That makes Q2 a bridge quarter. The critical test is whether TT can confirm that the backlog is moving through production as planned and that low-teens second-half revenue growth remains achievable.</w:t>
      </w:r>
    </w:p>
    <w:p>
      <w:r>
        <w:pict>
          <v:rect style="width:0;height:1.5pt" o:hralign="center" o:hrstd="t" o:hr="t"/>
        </w:pict>
      </w:r>
    </w:p>
    <w:bookmarkEnd w:id="15"/>
    <w:bookmarkStart w:id="23" w:name="five-issues-that-will-drive-the-reaction"/>
    <w:p>
      <w:pPr>
        <w:pStyle w:val="Heading2"/>
      </w:pPr>
      <w:r>
        <w:t xml:space="preserve">Five issues that will drive the reaction</w:t>
      </w:r>
    </w:p>
    <w:bookmarkStart w:id="16" w:name="Xf0134a52d244fe358f88785c808f518606ec533"/>
    <w:p>
      <w:pPr>
        <w:pStyle w:val="Heading3"/>
      </w:pPr>
      <w:r>
        <w:t xml:space="preserve">1. Commercial HVAC: bookings quality matters more than the growth rate</w:t>
      </w:r>
    </w:p>
    <w:p>
      <w:pPr>
        <w:pStyle w:val="FirstParagraph"/>
      </w:pPr>
      <w:r>
        <w:t xml:space="preserve">Applied bookings increased more than 160% in Q1, so the year-over-year growth rate will inevitably become more volatile. Large data-center awards can also make quarterly order comparisons noisy.</w:t>
      </w:r>
    </w:p>
    <w:p>
      <w:pPr>
        <w:pStyle w:val="BodyText"/>
      </w:pPr>
      <w:r>
        <w:t xml:space="preserve">Investors should focus instead on:</w:t>
      </w:r>
    </w:p>
    <w:p>
      <w:pPr>
        <w:pStyle w:val="Compact"/>
        <w:numPr>
          <w:ilvl w:val="0"/>
          <w:numId w:val="1003"/>
        </w:numPr>
      </w:pPr>
      <w:r>
        <w:t xml:space="preserve">Absolute Commercial HVAC bookings</w:t>
      </w:r>
    </w:p>
    <w:p>
      <w:pPr>
        <w:pStyle w:val="Compact"/>
        <w:numPr>
          <w:ilvl w:val="0"/>
          <w:numId w:val="1003"/>
        </w:numPr>
      </w:pPr>
      <w:r>
        <w:t xml:space="preserve">Commercial book-to-bill</w:t>
      </w:r>
    </w:p>
    <w:p>
      <w:pPr>
        <w:pStyle w:val="Compact"/>
        <w:numPr>
          <w:ilvl w:val="0"/>
          <w:numId w:val="1003"/>
        </w:numPr>
      </w:pPr>
      <w:r>
        <w:t xml:space="preserve">Backlog excluding acquisitions</w:t>
      </w:r>
    </w:p>
    <w:p>
      <w:pPr>
        <w:pStyle w:val="Compact"/>
        <w:numPr>
          <w:ilvl w:val="0"/>
          <w:numId w:val="1003"/>
        </w:numPr>
      </w:pPr>
      <w:r>
        <w:t xml:space="preserve">Data-center order cancellations or delivery deferrals</w:t>
      </w:r>
    </w:p>
    <w:p>
      <w:pPr>
        <w:pStyle w:val="Compact"/>
        <w:numPr>
          <w:ilvl w:val="0"/>
          <w:numId w:val="1003"/>
        </w:numPr>
      </w:pPr>
      <w:r>
        <w:t xml:space="preserve">Demand outside data centers</w:t>
      </w:r>
    </w:p>
    <w:p>
      <w:pPr>
        <w:pStyle w:val="Compact"/>
        <w:numPr>
          <w:ilvl w:val="0"/>
          <w:numId w:val="1003"/>
        </w:numPr>
      </w:pPr>
      <w:r>
        <w:t xml:space="preserve">Customer-requested delivery dates</w:t>
      </w:r>
    </w:p>
    <w:p>
      <w:pPr>
        <w:pStyle w:val="FirstParagraph"/>
      </w:pPr>
      <w:r>
        <w:t xml:space="preserve">Management has said customers increasingly place orders</w:t>
      </w:r>
      <w:r>
        <w:t xml:space="preserve"> </w:t>
      </w:r>
      <w:r>
        <w:rPr>
          <w:b/>
          <w:bCs/>
        </w:rPr>
        <w:t xml:space="preserve">12–18 months</w:t>
      </w:r>
      <w:r>
        <w:t xml:space="preserve"> </w:t>
      </w:r>
      <w:r>
        <w:t xml:space="preserve">before delivery, versus roughly 6–9 months historically. That provides valuable capacity visibility but also means exceptional bookings do not immediately translate into revenue.</w:t>
      </w:r>
    </w:p>
    <w:p>
      <w:pPr>
        <w:pStyle w:val="BodyText"/>
      </w:pPr>
      <w:r>
        <w:t xml:space="preserve">A slower bookings growth rate would not necessarily be negative. The concern would be a meaningful decline in absolute orders, cancellations or evidence that hyperscalers are pushing out projects. Continued strength across health care, higher education, government, office and retail would help demonstrate that the thesis is broader than AI infrastructure.</w:t>
      </w:r>
    </w:p>
    <w:bookmarkEnd w:id="16"/>
    <w:bookmarkStart w:id="17" w:name="X4199c6fc1fdd14c470fb739ccde9d26c2083054"/>
    <w:p>
      <w:pPr>
        <w:pStyle w:val="Heading3"/>
      </w:pPr>
      <w:r>
        <w:t xml:space="preserve">2. Backlog conversion and second-half acceleration</w:t>
      </w:r>
    </w:p>
    <w:p>
      <w:pPr>
        <w:pStyle w:val="FirstParagraph"/>
      </w:pPr>
      <w:r>
        <w:t xml:space="preserve">Management previously expected approximately 10% Q2 growth in Americas Commercial HVAC and low-teens growth in the second half. The company also projected mid- to high-20% organic operating leverage during the back half.</w:t>
      </w:r>
    </w:p>
    <w:p>
      <w:pPr>
        <w:pStyle w:val="BodyText"/>
      </w:pPr>
      <w:r>
        <w:t xml:space="preserve">The most important guidance statement may therefore be the expected Q3 growth rate. Investors will want confirmation that:</w:t>
      </w:r>
    </w:p>
    <w:p>
      <w:pPr>
        <w:pStyle w:val="Compact"/>
        <w:numPr>
          <w:ilvl w:val="0"/>
          <w:numId w:val="1004"/>
        </w:numPr>
      </w:pPr>
      <w:r>
        <w:t xml:space="preserve">Applied production is scaling on schedule</w:t>
      </w:r>
    </w:p>
    <w:p>
      <w:pPr>
        <w:pStyle w:val="Compact"/>
        <w:numPr>
          <w:ilvl w:val="0"/>
          <w:numId w:val="1004"/>
        </w:numPr>
      </w:pPr>
      <w:r>
        <w:t xml:space="preserve">Capacity additions are not delaying shipments</w:t>
      </w:r>
    </w:p>
    <w:p>
      <w:pPr>
        <w:pStyle w:val="Compact"/>
        <w:numPr>
          <w:ilvl w:val="0"/>
          <w:numId w:val="1004"/>
        </w:numPr>
      </w:pPr>
      <w:r>
        <w:t xml:space="preserve">Customer delivery dates remain intact</w:t>
      </w:r>
    </w:p>
    <w:p>
      <w:pPr>
        <w:pStyle w:val="Compact"/>
        <w:numPr>
          <w:ilvl w:val="0"/>
          <w:numId w:val="1004"/>
        </w:numPr>
      </w:pPr>
      <w:r>
        <w:t xml:space="preserve">Commercial services continue growing at a double-digit rate</w:t>
      </w:r>
    </w:p>
    <w:p>
      <w:pPr>
        <w:pStyle w:val="Compact"/>
        <w:numPr>
          <w:ilvl w:val="0"/>
          <w:numId w:val="1004"/>
        </w:numPr>
      </w:pPr>
      <w:r>
        <w:t xml:space="preserve">Stellar’s backlog is converting as expected</w:t>
      </w:r>
    </w:p>
    <w:p>
      <w:pPr>
        <w:pStyle w:val="FirstParagraph"/>
      </w:pPr>
      <w:r>
        <w:t xml:space="preserve">A Q2 beat caused by pulling revenue forward from Q3 would be lower quality than a beat accompanied by stronger second-half guidance.</w:t>
      </w:r>
    </w:p>
    <w:bookmarkEnd w:id="17"/>
    <w:bookmarkStart w:id="19" w:name="X9a19fbb7a78db003a25ffbb736ae9d235003351"/>
    <w:p>
      <w:pPr>
        <w:pStyle w:val="Heading3"/>
      </w:pPr>
      <w:r>
        <w:t xml:space="preserve">3. Margin execution: the likely pressure point</w:t>
      </w:r>
    </w:p>
    <w:p>
      <w:pPr>
        <w:pStyle w:val="FirstParagraph"/>
      </w:pPr>
      <w:r>
        <w:t xml:space="preserve">Trane has several factors working in opposite directions.</w:t>
      </w:r>
    </w:p>
    <w:p>
      <w:pPr>
        <w:pStyle w:val="BodyText"/>
      </w:pPr>
      <w:r>
        <w:rPr>
          <w:b/>
          <w:bCs/>
        </w:rPr>
        <w:t xml:space="preserve">Positive:</w:t>
      </w:r>
    </w:p>
    <w:p>
      <w:pPr>
        <w:pStyle w:val="Compact"/>
        <w:numPr>
          <w:ilvl w:val="0"/>
          <w:numId w:val="1005"/>
        </w:numPr>
      </w:pPr>
      <w:r>
        <w:t xml:space="preserve">Higher Commercial HVAC volume</w:t>
      </w:r>
    </w:p>
    <w:p>
      <w:pPr>
        <w:pStyle w:val="Compact"/>
        <w:numPr>
          <w:ilvl w:val="0"/>
          <w:numId w:val="1005"/>
        </w:numPr>
      </w:pPr>
      <w:r>
        <w:t xml:space="preserve">Pricing</w:t>
      </w:r>
    </w:p>
    <w:p>
      <w:pPr>
        <w:pStyle w:val="Compact"/>
        <w:numPr>
          <w:ilvl w:val="0"/>
          <w:numId w:val="1005"/>
        </w:numPr>
      </w:pPr>
      <w:r>
        <w:t xml:space="preserve">Productivity</w:t>
      </w:r>
    </w:p>
    <w:p>
      <w:pPr>
        <w:pStyle w:val="Compact"/>
        <w:numPr>
          <w:ilvl w:val="0"/>
          <w:numId w:val="1005"/>
        </w:numPr>
      </w:pPr>
      <w:r>
        <w:t xml:space="preserve">Better factory absorption later in the year</w:t>
      </w:r>
    </w:p>
    <w:p>
      <w:pPr>
        <w:pStyle w:val="Compact"/>
        <w:numPr>
          <w:ilvl w:val="0"/>
          <w:numId w:val="1005"/>
        </w:numPr>
      </w:pPr>
      <w:r>
        <w:t xml:space="preserve">Services growth</w:t>
      </w:r>
    </w:p>
    <w:p>
      <w:pPr>
        <w:pStyle w:val="Compact"/>
        <w:numPr>
          <w:ilvl w:val="0"/>
          <w:numId w:val="1005"/>
        </w:numPr>
      </w:pPr>
      <w:r>
        <w:t xml:space="preserve">Lower share count</w:t>
      </w:r>
    </w:p>
    <w:p>
      <w:pPr>
        <w:pStyle w:val="FirstParagraph"/>
      </w:pPr>
      <w:r>
        <w:rPr>
          <w:b/>
          <w:bCs/>
        </w:rPr>
        <w:t xml:space="preserve">Negative:</w:t>
      </w:r>
    </w:p>
    <w:p>
      <w:pPr>
        <w:pStyle w:val="Compact"/>
        <w:numPr>
          <w:ilvl w:val="0"/>
          <w:numId w:val="1006"/>
        </w:numPr>
      </w:pPr>
      <w:r>
        <w:t xml:space="preserve">Tariffs and metal inflation</w:t>
      </w:r>
    </w:p>
    <w:p>
      <w:pPr>
        <w:pStyle w:val="Compact"/>
        <w:numPr>
          <w:ilvl w:val="0"/>
          <w:numId w:val="1006"/>
        </w:numPr>
      </w:pPr>
      <w:r>
        <w:t xml:space="preserve">Stellar and LiquidStack integration investments</w:t>
      </w:r>
    </w:p>
    <w:p>
      <w:pPr>
        <w:pStyle w:val="Compact"/>
        <w:numPr>
          <w:ilvl w:val="0"/>
          <w:numId w:val="1006"/>
        </w:numPr>
      </w:pPr>
      <w:r>
        <w:t xml:space="preserve">Capacity-expansion costs</w:t>
      </w:r>
    </w:p>
    <w:p>
      <w:pPr>
        <w:pStyle w:val="Compact"/>
        <w:numPr>
          <w:ilvl w:val="0"/>
          <w:numId w:val="1006"/>
        </w:numPr>
      </w:pPr>
      <w:r>
        <w:t xml:space="preserve">Potentially unfavorable data-center equipment mix</w:t>
      </w:r>
    </w:p>
    <w:p>
      <w:pPr>
        <w:pStyle w:val="Compact"/>
        <w:numPr>
          <w:ilvl w:val="0"/>
          <w:numId w:val="1006"/>
        </w:numPr>
      </w:pPr>
      <w:r>
        <w:t xml:space="preserve">Middle East disruption</w:t>
      </w:r>
    </w:p>
    <w:p>
      <w:pPr>
        <w:pStyle w:val="Compact"/>
        <w:numPr>
          <w:ilvl w:val="0"/>
          <w:numId w:val="1006"/>
        </w:numPr>
      </w:pPr>
      <w:r>
        <w:t xml:space="preserve">Continued investment in innovation and service capacity</w:t>
      </w:r>
    </w:p>
    <w:p>
      <w:pPr>
        <w:pStyle w:val="FirstParagraph"/>
      </w:pPr>
      <w:r>
        <w:t xml:space="preserve">TT has an advantage from its in-region manufacturing model: more than 95% of products sold in the U.S. are manufactured or assembled domestically. It also hedges copper and aluminum purchases and includes escalation provisions in many longer-dated contracts. Nevertheless, domestic production does not eliminate exposure to imported components, steel, copper or aluminum.</w:t>
      </w:r>
    </w:p>
    <w:p>
      <w:pPr>
        <w:pStyle w:val="BodyText"/>
      </w:pPr>
      <w:r>
        <w:t xml:space="preserve">Carrier’s Q2 provides an important warning. Its orders were extremely strong—Commercial HVAC orders rose approximately 65% and data-center orders more than 300%—but adjusted operating margin fell 190 basis points as input costs and mix outweighed volume and productivity. Carrier still raised its full-year outlook. (</w:t>
      </w:r>
      <w:hyperlink r:id="rId18">
        <w:r>
          <w:rPr>
            <w:rStyle w:val="Hyperlink"/>
          </w:rPr>
          <w:t xml:space="preserve">carrier.com</w:t>
        </w:r>
      </w:hyperlink>
      <w:r>
        <w:t xml:space="preserve">)</w:t>
      </w:r>
    </w:p>
    <w:p>
      <w:pPr>
        <w:pStyle w:val="BodyText"/>
      </w:pPr>
      <w:r>
        <w:t xml:space="preserve">For TT, a good result would pair mid-20% organic leverage with stable or improving adjusted margin. Strong bookings accompanied by disappointing margin conversion would raise questions about the economics of the data-center cycle.</w:t>
      </w:r>
    </w:p>
    <w:bookmarkEnd w:id="19"/>
    <w:bookmarkStart w:id="20" w:name="X5ccd41801d7cdfb7e9713fbe29bc8a32076aa17"/>
    <w:p>
      <w:pPr>
        <w:pStyle w:val="Heading3"/>
      </w:pPr>
      <w:r>
        <w:t xml:space="preserve">4. Residential HVAC: peer signals are unusually mixed</w:t>
      </w:r>
    </w:p>
    <w:p>
      <w:pPr>
        <w:pStyle w:val="FirstParagraph"/>
      </w:pPr>
      <w:r>
        <w:t xml:space="preserve">Management entered Q2 expecting residential revenue to be approximately flat, followed by mid-single-digit growth in the second half. Channel inventories were described as properly positioned, and TT’s decision to level-load production should create better second-half factory absorption.</w:t>
      </w:r>
    </w:p>
    <w:p>
      <w:pPr>
        <w:pStyle w:val="BodyText"/>
      </w:pPr>
      <w:r>
        <w:t xml:space="preserve">Peer results complicate the picture:</w:t>
      </w:r>
    </w:p>
    <w:p>
      <w:pPr>
        <w:pStyle w:val="Compact"/>
        <w:numPr>
          <w:ilvl w:val="0"/>
          <w:numId w:val="1007"/>
        </w:numPr>
      </w:pPr>
      <w:r>
        <w:rPr>
          <w:b/>
          <w:bCs/>
        </w:rPr>
        <w:t xml:space="preserve">Carrier</w:t>
      </w:r>
      <w:r>
        <w:t xml:space="preserve"> </w:t>
      </w:r>
      <w:r>
        <w:t xml:space="preserve">reported 9% growth in Americas residential sales and described improving residential and light-commercial markets. (</w:t>
      </w:r>
      <w:hyperlink r:id="rId18">
        <w:r>
          <w:rPr>
            <w:rStyle w:val="Hyperlink"/>
          </w:rPr>
          <w:t xml:space="preserve">carrier.com</w:t>
        </w:r>
      </w:hyperlink>
      <w:r>
        <w:t xml:space="preserve">)</w:t>
      </w:r>
    </w:p>
    <w:p>
      <w:pPr>
        <w:pStyle w:val="Compact"/>
        <w:numPr>
          <w:ilvl w:val="0"/>
          <w:numId w:val="1007"/>
        </w:numPr>
      </w:pPr>
      <w:r>
        <w:rPr>
          <w:b/>
          <w:bCs/>
        </w:rPr>
        <w:t xml:space="preserve">Lennox</w:t>
      </w:r>
      <w:r>
        <w:t xml:space="preserve">, by contrast, reported a 7% decline in Home Comfort revenue and reduced its full-year EPS outlook, citing continued residential softness.</w:t>
      </w:r>
    </w:p>
    <w:p>
      <w:pPr>
        <w:pStyle w:val="FirstParagraph"/>
      </w:pPr>
      <w:r>
        <w:t xml:space="preserve">This divergence suggests that share, channel exposure, product mix and distributor inventory may matter more than the overall market. TT does not need robust residential growth in Q2, but a result materially below flat could threaten the expected second-half improvement.</w:t>
      </w:r>
    </w:p>
    <w:p>
      <w:pPr>
        <w:pStyle w:val="BodyText"/>
      </w:pPr>
      <w:r>
        <w:t xml:space="preserve">Key questions include:</w:t>
      </w:r>
    </w:p>
    <w:p>
      <w:pPr>
        <w:pStyle w:val="Compact"/>
        <w:numPr>
          <w:ilvl w:val="0"/>
          <w:numId w:val="1008"/>
        </w:numPr>
      </w:pPr>
      <w:r>
        <w:t xml:space="preserve">Did warm weather translate into sell-through rather than inventory build?</w:t>
      </w:r>
    </w:p>
    <w:p>
      <w:pPr>
        <w:pStyle w:val="Compact"/>
        <w:numPr>
          <w:ilvl w:val="0"/>
          <w:numId w:val="1008"/>
        </w:numPr>
      </w:pPr>
      <w:r>
        <w:t xml:space="preserve">Were April price increases retained?</w:t>
      </w:r>
    </w:p>
    <w:p>
      <w:pPr>
        <w:pStyle w:val="Compact"/>
        <w:numPr>
          <w:ilvl w:val="0"/>
          <w:numId w:val="1008"/>
        </w:numPr>
      </w:pPr>
      <w:r>
        <w:t xml:space="preserve">Is distributor inventory still normalized?</w:t>
      </w:r>
    </w:p>
    <w:p>
      <w:pPr>
        <w:pStyle w:val="Compact"/>
        <w:numPr>
          <w:ilvl w:val="0"/>
          <w:numId w:val="1008"/>
        </w:numPr>
      </w:pPr>
      <w:r>
        <w:t xml:space="preserve">Is replacement demand offsetting weak new construction?</w:t>
      </w:r>
    </w:p>
    <w:p>
      <w:pPr>
        <w:pStyle w:val="Compact"/>
        <w:numPr>
          <w:ilvl w:val="0"/>
          <w:numId w:val="1008"/>
        </w:numPr>
      </w:pPr>
      <w:r>
        <w:t xml:space="preserve">Does management still expect residential growth in the second half?</w:t>
      </w:r>
    </w:p>
    <w:bookmarkEnd w:id="20"/>
    <w:bookmarkStart w:id="22" w:name="Xa5980b99c5618a3949ddf91a13b3ed1c404eea9"/>
    <w:p>
      <w:pPr>
        <w:pStyle w:val="Heading3"/>
      </w:pPr>
      <w:r>
        <w:t xml:space="preserve">5. Guidance: a raise is probably necessary for meaningful upside</w:t>
      </w:r>
    </w:p>
    <w:p>
      <w:pPr>
        <w:pStyle w:val="FirstParagraph"/>
      </w:pPr>
      <w:r>
        <w:t xml:space="preserve">Current guidance calls for:</w:t>
      </w:r>
    </w:p>
    <w:p>
      <w:pPr>
        <w:pStyle w:val="Compact"/>
        <w:numPr>
          <w:ilvl w:val="0"/>
          <w:numId w:val="1009"/>
        </w:numPr>
      </w:pPr>
      <w:r>
        <w:t xml:space="preserve">Approximately</w:t>
      </w:r>
      <w:r>
        <w:t xml:space="preserve"> </w:t>
      </w:r>
      <w:r>
        <w:rPr>
          <w:b/>
          <w:bCs/>
        </w:rPr>
        <w:t xml:space="preserve">7% organic revenue growth</w:t>
      </w:r>
    </w:p>
    <w:p>
      <w:pPr>
        <w:pStyle w:val="Compact"/>
        <w:numPr>
          <w:ilvl w:val="0"/>
          <w:numId w:val="1009"/>
        </w:numPr>
      </w:pPr>
      <w:r>
        <w:t xml:space="preserve">Approximately</w:t>
      </w:r>
      <w:r>
        <w:t xml:space="preserve"> </w:t>
      </w:r>
      <w:r>
        <w:rPr>
          <w:b/>
          <w:bCs/>
        </w:rPr>
        <w:t xml:space="preserve">9.5% reported revenue growth</w:t>
      </w:r>
    </w:p>
    <w:p>
      <w:pPr>
        <w:pStyle w:val="Compact"/>
        <w:numPr>
          <w:ilvl w:val="0"/>
          <w:numId w:val="1009"/>
        </w:numPr>
      </w:pPr>
      <w:r>
        <w:t xml:space="preserve">Adjusted EPS of</w:t>
      </w:r>
      <w:r>
        <w:t xml:space="preserve"> </w:t>
      </w:r>
      <m:oMath>
        <m:r>
          <m:t>14.75</m:t>
        </m:r>
        <m:r>
          <m:rPr>
            <m:sty m:val="p"/>
          </m:rPr>
          <m:t>–</m:t>
        </m:r>
      </m:oMath>
      <w:r>
        <w:rPr>
          <w:b/>
          <w:bCs/>
        </w:rPr>
        <w:t xml:space="preserve">14.95</w:t>
      </w:r>
      <w:r>
        <w:t xml:space="preserve"> </w:t>
      </w:r>
      <w:r>
        <w:t xml:space="preserve">(</w:t>
      </w:r>
      <w:hyperlink r:id="rId21">
        <w:r>
          <w:rPr>
            <w:rStyle w:val="Hyperlink"/>
          </w:rPr>
          <w:t xml:space="preserve">investors.tranetechnologies.com</w:t>
        </w:r>
      </w:hyperlink>
      <w:r>
        <w:t xml:space="preserve">)</w:t>
      </w:r>
    </w:p>
    <w:p>
      <w:pPr>
        <w:pStyle w:val="FirstParagraph"/>
      </w:pPr>
      <w:r>
        <w:t xml:space="preserve">Because consensus is already near the midpoint, the market is likely positioned for some form of raise. A constructive outcome would be:</w:t>
      </w:r>
    </w:p>
    <w:p>
      <w:pPr>
        <w:pStyle w:val="Compact"/>
        <w:numPr>
          <w:ilvl w:val="0"/>
          <w:numId w:val="1010"/>
        </w:numPr>
      </w:pPr>
      <w:r>
        <w:t xml:space="preserve">Q2 adjusted EPS above $4.27</w:t>
      </w:r>
    </w:p>
    <w:p>
      <w:pPr>
        <w:pStyle w:val="Compact"/>
        <w:numPr>
          <w:ilvl w:val="0"/>
          <w:numId w:val="1010"/>
        </w:numPr>
      </w:pPr>
      <w:r>
        <w:t xml:space="preserve">Full-year EPS guidance lifted to approximately</w:t>
      </w:r>
      <w:r>
        <w:t xml:space="preserve"> </w:t>
      </w:r>
      <w:r>
        <w:rPr>
          <w:b/>
          <w:bCs/>
        </w:rPr>
        <w:t xml:space="preserve">$15.00 or better</w:t>
      </w:r>
    </w:p>
    <w:p>
      <w:pPr>
        <w:pStyle w:val="Compact"/>
        <w:numPr>
          <w:ilvl w:val="0"/>
          <w:numId w:val="1010"/>
        </w:numPr>
      </w:pPr>
      <w:r>
        <w:t xml:space="preserve">Second-half organic growth and leverage reiterated</w:t>
      </w:r>
    </w:p>
    <w:p>
      <w:pPr>
        <w:pStyle w:val="Compact"/>
        <w:numPr>
          <w:ilvl w:val="0"/>
          <w:numId w:val="1010"/>
        </w:numPr>
      </w:pPr>
      <w:r>
        <w:t xml:space="preserve">No deterioration in backlog or price/cost assumptions</w:t>
      </w:r>
    </w:p>
    <w:p>
      <w:pPr>
        <w:pStyle w:val="FirstParagraph"/>
      </w:pPr>
      <w:r>
        <w:t xml:space="preserve">A narrow raise attributable only to the Q2 beat may not be enough. Investors will prefer evidence that the underlying second-half outlook has improved.</w:t>
      </w:r>
    </w:p>
    <w:p>
      <w:r>
        <w:pict>
          <v:rect style="width:0;height:1.5pt" o:hralign="center" o:hrstd="t" o:hr="t"/>
        </w:pict>
      </w:r>
    </w:p>
    <w:bookmarkEnd w:id="22"/>
    <w:bookmarkEnd w:id="23"/>
    <w:bookmarkStart w:id="24" w:name="data-center-cooling-and-the-acquisitions"/>
    <w:p>
      <w:pPr>
        <w:pStyle w:val="Heading2"/>
      </w:pPr>
      <w:r>
        <w:t xml:space="preserve">Data-center cooling and the acquisitions</w:t>
      </w:r>
    </w:p>
    <w:p>
      <w:pPr>
        <w:pStyle w:val="FirstParagraph"/>
      </w:pPr>
      <w:r>
        <w:t xml:space="preserve">TT is evolving from a chiller supplier into a broader thermal-management systems provider.</w:t>
      </w:r>
    </w:p>
    <w:p>
      <w:pPr>
        <w:pStyle w:val="Compact"/>
        <w:numPr>
          <w:ilvl w:val="0"/>
          <w:numId w:val="1011"/>
        </w:numPr>
      </w:pPr>
      <w:r>
        <w:rPr>
          <w:b/>
          <w:bCs/>
        </w:rPr>
        <w:t xml:space="preserve">Stellar Energy</w:t>
      </w:r>
      <w:r>
        <w:t xml:space="preserve"> </w:t>
      </w:r>
      <w:r>
        <w:t xml:space="preserve">adds modular chiller plants, reducing field labor and accelerating deployment.</w:t>
      </w:r>
    </w:p>
    <w:p>
      <w:pPr>
        <w:pStyle w:val="Compact"/>
        <w:numPr>
          <w:ilvl w:val="0"/>
          <w:numId w:val="1011"/>
        </w:numPr>
      </w:pPr>
      <w:r>
        <w:rPr>
          <w:b/>
          <w:bCs/>
        </w:rPr>
        <w:t xml:space="preserve">LiquidStack</w:t>
      </w:r>
      <w:r>
        <w:t xml:space="preserve"> </w:t>
      </w:r>
      <w:r>
        <w:t xml:space="preserve">expands TT into liquid cooling and coolant-distribution units.</w:t>
      </w:r>
    </w:p>
    <w:p>
      <w:pPr>
        <w:pStyle w:val="Compact"/>
        <w:numPr>
          <w:ilvl w:val="0"/>
          <w:numId w:val="1011"/>
        </w:numPr>
      </w:pPr>
      <w:r>
        <w:t xml:space="preserve">Existing Trane equipment, controls, commissioning and service capabilities allow the company to sell a larger integrated system.</w:t>
      </w:r>
    </w:p>
    <w:p>
      <w:pPr>
        <w:pStyle w:val="FirstParagraph"/>
      </w:pPr>
      <w:r>
        <w:t xml:space="preserve">Management expects approximately</w:t>
      </w:r>
      <w:r>
        <w:t xml:space="preserve"> </w:t>
      </w:r>
      <m:oMath>
        <m:r>
          <m:t>500</m:t>
        </m:r>
        <m:r>
          <m:t>m</m:t>
        </m:r>
        <m:r>
          <m:t>i</m:t>
        </m:r>
        <m:r>
          <m:t>l</m:t>
        </m:r>
        <m:r>
          <m:t>l</m:t>
        </m:r>
        <m:r>
          <m:t>i</m:t>
        </m:r>
        <m:r>
          <m:t>o</m:t>
        </m:r>
        <m:r>
          <m:t>n</m:t>
        </m:r>
        <m:r>
          <m:t>o</m:t>
        </m:r>
        <m:r>
          <m:t>f</m:t>
        </m:r>
        <m:r>
          <m:t>S</m:t>
        </m:r>
        <m:r>
          <m:t>t</m:t>
        </m:r>
        <m:r>
          <m:t>e</m:t>
        </m:r>
        <m:r>
          <m:t>l</m:t>
        </m:r>
        <m:r>
          <m:t>l</m:t>
        </m:r>
        <m:r>
          <m:t>a</m:t>
        </m:r>
        <m:r>
          <m:t>r</m:t>
        </m:r>
        <m:r>
          <m:t>r</m:t>
        </m:r>
        <m:r>
          <m:t>e</m:t>
        </m:r>
        <m:r>
          <m:t>v</m:t>
        </m:r>
        <m:r>
          <m:t>e</m:t>
        </m:r>
        <m:r>
          <m:t>n</m:t>
        </m:r>
        <m:r>
          <m:t>u</m:t>
        </m:r>
        <m:r>
          <m:t>e</m:t>
        </m:r>
        <m:r>
          <m:t>i</m:t>
        </m:r>
        <m:r>
          <m:t>n</m:t>
        </m:r>
        <m:r>
          <m:t>2026</m:t>
        </m:r>
        <m:r>
          <m:rPr>
            <m:sty m:val="p"/>
          </m:rPr>
          <m:t>*</m:t>
        </m:r>
        <m:r>
          <m:rPr>
            <m:sty m:val="p"/>
          </m:rPr>
          <m:t>*</m:t>
        </m:r>
        <m:r>
          <m:rPr>
            <m:sty m:val="p"/>
          </m:rPr>
          <m:t>,</m:t>
        </m:r>
        <m:r>
          <m:t>w</m:t>
        </m:r>
        <m:r>
          <m:t>i</m:t>
        </m:r>
        <m:r>
          <m:t>t</m:t>
        </m:r>
        <m:r>
          <m:t>h</m:t>
        </m:r>
        <m:r>
          <m:t>o</m:t>
        </m:r>
        <m:r>
          <m:t>n</m:t>
        </m:r>
        <m:r>
          <m:t>l</m:t>
        </m:r>
        <m:r>
          <m:t>y</m:t>
        </m:r>
        <m:r>
          <m:t>m</m:t>
        </m:r>
        <m:r>
          <m:t>o</m:t>
        </m:r>
        <m:r>
          <m:t>d</m:t>
        </m:r>
        <m:r>
          <m:t>e</m:t>
        </m:r>
        <m:r>
          <m:t>s</m:t>
        </m:r>
        <m:r>
          <m:t>t</m:t>
        </m:r>
        <m:r>
          <m:t>i</m:t>
        </m:r>
        <m:r>
          <m:t>n</m:t>
        </m:r>
        <m:r>
          <m:t>i</m:t>
        </m:r>
        <m:r>
          <m:t>t</m:t>
        </m:r>
        <m:r>
          <m:t>i</m:t>
        </m:r>
        <m:r>
          <m:t>a</m:t>
        </m:r>
        <m:r>
          <m:t>l</m:t>
        </m:r>
        <m:r>
          <m:t>a</m:t>
        </m:r>
        <m:r>
          <m:t>c</m:t>
        </m:r>
        <m:r>
          <m:t>c</m:t>
        </m:r>
        <m:r>
          <m:t>r</m:t>
        </m:r>
        <m:r>
          <m:t>e</m:t>
        </m:r>
        <m:r>
          <m:t>t</m:t>
        </m:r>
        <m:r>
          <m:t>i</m:t>
        </m:r>
        <m:r>
          <m:t>o</m:t>
        </m:r>
        <m:r>
          <m:t>n</m:t>
        </m:r>
        <m:r>
          <m:t>b</m:t>
        </m:r>
        <m:r>
          <m:t>e</m:t>
        </m:r>
        <m:r>
          <m:t>c</m:t>
        </m:r>
        <m:r>
          <m:t>a</m:t>
        </m:r>
        <m:r>
          <m:t>u</m:t>
        </m:r>
        <m:r>
          <m:t>s</m:t>
        </m:r>
        <m:r>
          <m:t>e</m:t>
        </m:r>
        <m:r>
          <m:t>T</m:t>
        </m:r>
        <m:r>
          <m:t>T</m:t>
        </m:r>
        <m:r>
          <m:t>i</m:t>
        </m:r>
        <m:r>
          <m:t>s</m:t>
        </m:r>
        <m:r>
          <m:t>i</m:t>
        </m:r>
        <m:r>
          <m:t>n</m:t>
        </m:r>
        <m:r>
          <m:t>v</m:t>
        </m:r>
        <m:r>
          <m:t>e</m:t>
        </m:r>
        <m:r>
          <m:t>s</m:t>
        </m:r>
        <m:r>
          <m:t>t</m:t>
        </m:r>
        <m:r>
          <m:t>i</m:t>
        </m:r>
        <m:r>
          <m:t>n</m:t>
        </m:r>
        <m:r>
          <m:t>g</m:t>
        </m:r>
        <m:r>
          <m:t>i</m:t>
        </m:r>
        <m:r>
          <m:t>n</m:t>
        </m:r>
        <m:r>
          <m:t>F</m:t>
        </m:r>
        <m:r>
          <m:t>l</m:t>
        </m:r>
        <m:r>
          <m:t>o</m:t>
        </m:r>
        <m:r>
          <m:t>r</m:t>
        </m:r>
        <m:r>
          <m:t>i</m:t>
        </m:r>
        <m:r>
          <m:t>d</m:t>
        </m:r>
        <m:r>
          <m:t>a</m:t>
        </m:r>
        <m:r>
          <m:t>c</m:t>
        </m:r>
        <m:r>
          <m:t>a</m:t>
        </m:r>
        <m:r>
          <m:t>p</m:t>
        </m:r>
        <m:r>
          <m:t>a</m:t>
        </m:r>
        <m:r>
          <m:t>c</m:t>
        </m:r>
        <m:r>
          <m:t>i</m:t>
        </m:r>
        <m:r>
          <m:t>t</m:t>
        </m:r>
        <m:r>
          <m:t>y</m:t>
        </m:r>
        <m:r>
          <m:rPr>
            <m:sty m:val="p"/>
          </m:rPr>
          <m:t>,</m:t>
        </m:r>
        <m:r>
          <m:t>a</m:t>
        </m:r>
        <m:r>
          <m:t>n</m:t>
        </m:r>
        <m:r>
          <m:t>e</m:t>
        </m:r>
        <m:r>
          <m:t>w</m:t>
        </m:r>
        <m:r>
          <m:t>T</m:t>
        </m:r>
        <m:r>
          <m:t>e</m:t>
        </m:r>
        <m:r>
          <m:t>x</m:t>
        </m:r>
        <m:r>
          <m:t>a</m:t>
        </m:r>
        <m:r>
          <m:t>s</m:t>
        </m:r>
        <m:r>
          <m:t>f</m:t>
        </m:r>
        <m:r>
          <m:t>a</m:t>
        </m:r>
        <m:r>
          <m:t>c</m:t>
        </m:r>
        <m:r>
          <m:t>i</m:t>
        </m:r>
        <m:r>
          <m:t>l</m:t>
        </m:r>
        <m:r>
          <m:t>i</m:t>
        </m:r>
        <m:r>
          <m:t>t</m:t>
        </m:r>
        <m:r>
          <m:t>y</m:t>
        </m:r>
        <m:r>
          <m:t>a</m:t>
        </m:r>
        <m:r>
          <m:t>n</m:t>
        </m:r>
        <m:r>
          <m:t>d</m:t>
        </m:r>
        <m:r>
          <m:t>o</m:t>
        </m:r>
        <m:r>
          <m:t>p</m:t>
        </m:r>
        <m:r>
          <m:t>e</m:t>
        </m:r>
        <m:r>
          <m:t>r</m:t>
        </m:r>
        <m:r>
          <m:t>a</m:t>
        </m:r>
        <m:r>
          <m:t>t</m:t>
        </m:r>
        <m:r>
          <m:t>i</m:t>
        </m:r>
        <m:r>
          <m:t>n</m:t>
        </m:r>
        <m:r>
          <m:t>g</m:t>
        </m:r>
        <m:r>
          <m:rPr>
            <m:sty m:val="p"/>
          </m:rPr>
          <m:t>−</m:t>
        </m:r>
        <m:r>
          <m:t>s</m:t>
        </m:r>
        <m:r>
          <m:t>y</m:t>
        </m:r>
        <m:r>
          <m:t>s</m:t>
        </m:r>
        <m:r>
          <m:t>t</m:t>
        </m:r>
        <m:r>
          <m:t>e</m:t>
        </m:r>
        <m:r>
          <m:t>m</m:t>
        </m:r>
        <m:r>
          <m:t>i</m:t>
        </m:r>
        <m:r>
          <m:t>m</m:t>
        </m:r>
        <m:r>
          <m:t>p</m:t>
        </m:r>
        <m:r>
          <m:t>r</m:t>
        </m:r>
        <m:r>
          <m:t>o</m:t>
        </m:r>
        <m:r>
          <m:t>v</m:t>
        </m:r>
        <m:r>
          <m:t>e</m:t>
        </m:r>
        <m:r>
          <m:t>m</m:t>
        </m:r>
        <m:r>
          <m:t>e</m:t>
        </m:r>
        <m:r>
          <m:t>n</m:t>
        </m:r>
        <m:r>
          <m:t>t</m:t>
        </m:r>
        <m:r>
          <m:t>s</m:t>
        </m:r>
        <m:r>
          <m:rPr>
            <m:sty m:val="p"/>
          </m:rPr>
          <m:t>.</m:t>
        </m:r>
        <m:r>
          <m:t>I</m:t>
        </m:r>
        <m:r>
          <m:t>t</m:t>
        </m:r>
        <m:r>
          <m:t>s</m:t>
        </m:r>
        <m:r>
          <m:t>e</m:t>
        </m:r>
        <m:r>
          <m:t>e</m:t>
        </m:r>
        <m:r>
          <m:t>s</m:t>
        </m:r>
        <m:r>
          <m:t>S</m:t>
        </m:r>
        <m:r>
          <m:t>t</m:t>
        </m:r>
        <m:r>
          <m:t>e</m:t>
        </m:r>
        <m:r>
          <m:t>l</m:t>
        </m:r>
        <m:r>
          <m:t>l</m:t>
        </m:r>
        <m:r>
          <m:t>a</m:t>
        </m:r>
        <m:r>
          <m:t>r</m:t>
        </m:r>
        <m:r>
          <m:t>p</m:t>
        </m:r>
        <m:r>
          <m:t>o</m:t>
        </m:r>
        <m:r>
          <m:t>t</m:t>
        </m:r>
        <m:r>
          <m:t>e</m:t>
        </m:r>
        <m:r>
          <m:t>n</m:t>
        </m:r>
        <m:r>
          <m:t>t</m:t>
        </m:r>
        <m:r>
          <m:t>i</m:t>
        </m:r>
        <m:r>
          <m:t>a</m:t>
        </m:r>
        <m:r>
          <m:t>l</m:t>
        </m:r>
        <m:r>
          <m:t>l</m:t>
        </m:r>
        <m:r>
          <m:t>y</m:t>
        </m:r>
        <m:r>
          <m:t>b</m:t>
        </m:r>
        <m:r>
          <m:t>e</m:t>
        </m:r>
        <m:r>
          <m:t>c</m:t>
        </m:r>
        <m:r>
          <m:t>o</m:t>
        </m:r>
        <m:r>
          <m:t>m</m:t>
        </m:r>
        <m:r>
          <m:t>i</m:t>
        </m:r>
        <m:r>
          <m:t>n</m:t>
        </m:r>
        <m:r>
          <m:t>g</m:t>
        </m:r>
        <m:r>
          <m:t>a</m:t>
        </m:r>
        <m:r>
          <m:rPr>
            <m:sty m:val="p"/>
          </m:rPr>
          <m:t>*</m:t>
        </m:r>
        <m:r>
          <m:rPr>
            <m:sty m:val="p"/>
          </m:rPr>
          <m:t>*</m:t>
        </m:r>
      </m:oMath>
      <w:r>
        <w:rPr>
          <w:b/>
          <w:bCs/>
        </w:rPr>
        <w:t xml:space="preserve">1 billion-plus revenue business within two to three years</w:t>
      </w:r>
      <w:r>
        <w:t xml:space="preserve">, at mid-teens-plus EBITDA margins.</w:t>
      </w:r>
    </w:p>
    <w:p>
      <w:pPr>
        <w:pStyle w:val="BodyText"/>
      </w:pPr>
      <w:r>
        <w:t xml:space="preserve">For Q2, investors should listen for:</w:t>
      </w:r>
    </w:p>
    <w:p>
      <w:pPr>
        <w:pStyle w:val="Compact"/>
        <w:numPr>
          <w:ilvl w:val="0"/>
          <w:numId w:val="1012"/>
        </w:numPr>
      </w:pPr>
      <w:r>
        <w:t xml:space="preserve">Stellar revenue and backlog conversion</w:t>
      </w:r>
    </w:p>
    <w:p>
      <w:pPr>
        <w:pStyle w:val="Compact"/>
        <w:numPr>
          <w:ilvl w:val="0"/>
          <w:numId w:val="1012"/>
        </w:numPr>
      </w:pPr>
      <w:r>
        <w:t xml:space="preserve">Timing of the Texas facility</w:t>
      </w:r>
    </w:p>
    <w:p>
      <w:pPr>
        <w:pStyle w:val="Compact"/>
        <w:numPr>
          <w:ilvl w:val="0"/>
          <w:numId w:val="1012"/>
        </w:numPr>
      </w:pPr>
      <w:r>
        <w:t xml:space="preserve">Capital-spending requirements</w:t>
      </w:r>
    </w:p>
    <w:p>
      <w:pPr>
        <w:pStyle w:val="Compact"/>
        <w:numPr>
          <w:ilvl w:val="0"/>
          <w:numId w:val="1012"/>
        </w:numPr>
      </w:pPr>
      <w:r>
        <w:t xml:space="preserve">Cross-selling wins</w:t>
      </w:r>
    </w:p>
    <w:p>
      <w:pPr>
        <w:pStyle w:val="Compact"/>
        <w:numPr>
          <w:ilvl w:val="0"/>
          <w:numId w:val="1012"/>
        </w:numPr>
      </w:pPr>
      <w:r>
        <w:t xml:space="preserve">LiquidStack product development</w:t>
      </w:r>
    </w:p>
    <w:p>
      <w:pPr>
        <w:pStyle w:val="Compact"/>
        <w:numPr>
          <w:ilvl w:val="0"/>
          <w:numId w:val="1012"/>
        </w:numPr>
      </w:pPr>
      <w:r>
        <w:t xml:space="preserve">Whether modular solutions are moving beyond data centers</w:t>
      </w:r>
    </w:p>
    <w:p>
      <w:pPr>
        <w:pStyle w:val="Compact"/>
        <w:numPr>
          <w:ilvl w:val="0"/>
          <w:numId w:val="1012"/>
        </w:numPr>
      </w:pPr>
      <w:r>
        <w:t xml:space="preserve">The expected service attachment rate</w:t>
      </w:r>
    </w:p>
    <w:p>
      <w:pPr>
        <w:pStyle w:val="FirstParagraph"/>
      </w:pPr>
      <w:r>
        <w:t xml:space="preserve">The strategic logic is compelling, but investors should distinguish between strong orders and current profitability. The acquisitions are likely to dilute consolidated margins during their investment phase before becoming material earnings contributors.</w:t>
      </w:r>
    </w:p>
    <w:p>
      <w:r>
        <w:pict>
          <v:rect style="width:0;height:1.5pt" o:hralign="center" o:hrstd="t" o:hr="t"/>
        </w:pict>
      </w:r>
    </w:p>
    <w:bookmarkEnd w:id="24"/>
    <w:bookmarkStart w:id="32" w:name="other-items-to-watch"/>
    <w:p>
      <w:pPr>
        <w:pStyle w:val="Heading2"/>
      </w:pPr>
      <w:r>
        <w:t xml:space="preserve">Other items to watch</w:t>
      </w:r>
    </w:p>
    <w:bookmarkStart w:id="25" w:name="emea-and-the-middle-east"/>
    <w:p>
      <w:pPr>
        <w:pStyle w:val="Heading3"/>
      </w:pPr>
      <w:r>
        <w:t xml:space="preserve">EMEA and the Middle East</w:t>
      </w:r>
    </w:p>
    <w:p>
      <w:pPr>
        <w:pStyle w:val="FirstParagraph"/>
      </w:pPr>
      <w:r>
        <w:t xml:space="preserve">Management previously identified approximately</w:t>
      </w:r>
      <w:r>
        <w:t xml:space="preserve"> </w:t>
      </w:r>
      <m:oMath>
        <m:r>
          <m:t>50</m:t>
        </m:r>
        <m:r>
          <m:t>m</m:t>
        </m:r>
        <m:r>
          <m:t>i</m:t>
        </m:r>
        <m:r>
          <m:t>l</m:t>
        </m:r>
        <m:r>
          <m:t>l</m:t>
        </m:r>
        <m:r>
          <m:t>i</m:t>
        </m:r>
        <m:r>
          <m:t>o</m:t>
        </m:r>
        <m:r>
          <m:t>n</m:t>
        </m:r>
        <m:r>
          <m:t>o</m:t>
        </m:r>
        <m:r>
          <m:t>f</m:t>
        </m:r>
        <m:r>
          <m:t>Q</m:t>
        </m:r>
        <m:r>
          <m:t>2</m:t>
        </m:r>
        <m:r>
          <m:t>r</m:t>
        </m:r>
        <m:r>
          <m:t>e</m:t>
        </m:r>
        <m:r>
          <m:t>v</m:t>
        </m:r>
        <m:r>
          <m:t>e</m:t>
        </m:r>
        <m:r>
          <m:t>n</m:t>
        </m:r>
        <m:r>
          <m:t>u</m:t>
        </m:r>
        <m:r>
          <m:t>e</m:t>
        </m:r>
        <m:r>
          <m:t>p</m:t>
        </m:r>
        <m:r>
          <m:t>r</m:t>
        </m:r>
        <m:r>
          <m:t>e</m:t>
        </m:r>
        <m:r>
          <m:t>s</m:t>
        </m:r>
        <m:r>
          <m:t>s</m:t>
        </m:r>
        <m:r>
          <m:t>u</m:t>
        </m:r>
        <m:r>
          <m:t>r</m:t>
        </m:r>
        <m:r>
          <m:t>e</m:t>
        </m:r>
        <m:r>
          <m:rPr>
            <m:sty m:val="p"/>
          </m:rPr>
          <m:t>*</m:t>
        </m:r>
        <m:r>
          <m:rPr>
            <m:sty m:val="p"/>
          </m:rPr>
          <m:t>*</m:t>
        </m:r>
        <m:r>
          <m:t>a</m:t>
        </m:r>
        <m:r>
          <m:t>n</m:t>
        </m:r>
        <m:r>
          <m:t>d</m:t>
        </m:r>
        <m:r>
          <m:t>a</m:t>
        </m:r>
        <m:r>
          <m:t>r</m:t>
        </m:r>
        <m:r>
          <m:t>o</m:t>
        </m:r>
        <m:r>
          <m:t>u</m:t>
        </m:r>
        <m:r>
          <m:t>n</m:t>
        </m:r>
        <m:r>
          <m:t>d</m:t>
        </m:r>
        <m:r>
          <m:rPr>
            <m:sty m:val="p"/>
          </m:rPr>
          <m:t>*</m:t>
        </m:r>
        <m:r>
          <m:rPr>
            <m:sty m:val="p"/>
          </m:rPr>
          <m:t>*</m:t>
        </m:r>
      </m:oMath>
      <w:r>
        <w:rPr>
          <w:b/>
          <w:bCs/>
        </w:rPr>
        <w:t xml:space="preserve">0.05 of EPS impact</w:t>
      </w:r>
      <w:r>
        <w:t xml:space="preserve"> </w:t>
      </w:r>
      <w:r>
        <w:t xml:space="preserve">from Middle East disruption. The key issue is whether that remains contained or has spread into later quarters.</w:t>
      </w:r>
    </w:p>
    <w:bookmarkEnd w:id="25"/>
    <w:bookmarkStart w:id="26" w:name="asia-pacific"/>
    <w:p>
      <w:pPr>
        <w:pStyle w:val="Heading3"/>
      </w:pPr>
      <w:r>
        <w:t xml:space="preserve">Asia Pacific</w:t>
      </w:r>
    </w:p>
    <w:p>
      <w:pPr>
        <w:pStyle w:val="FirstParagraph"/>
      </w:pPr>
      <w:r>
        <w:t xml:space="preserve">Asia bookings were strong in Q1, but China remained challenging. Continued strength in India, Southeast Asia and the rest of Asia could offset Chinese weakness. Carrier’s Q2 similarly showed strength outside China but significant regional margin pressure. (</w:t>
      </w:r>
      <w:hyperlink r:id="rId18">
        <w:r>
          <w:rPr>
            <w:rStyle w:val="Hyperlink"/>
          </w:rPr>
          <w:t xml:space="preserve">carrier.com</w:t>
        </w:r>
      </w:hyperlink>
      <w:r>
        <w:t xml:space="preserve">)</w:t>
      </w:r>
    </w:p>
    <w:bookmarkEnd w:id="26"/>
    <w:bookmarkStart w:id="28" w:name="transport-refrigeration"/>
    <w:p>
      <w:pPr>
        <w:pStyle w:val="Heading3"/>
      </w:pPr>
      <w:r>
        <w:t xml:space="preserve">Transport refrigeration</w:t>
      </w:r>
    </w:p>
    <w:p>
      <w:pPr>
        <w:pStyle w:val="FirstParagraph"/>
      </w:pPr>
      <w:r>
        <w:t xml:space="preserve">TT expected Q2 transport revenue to decline roughly mid-teens because of customer-delivery timing, with market improvement beginning late in 2026 and becoming more visible in 2027. Carrier’s global truck-and-trailer sales were down low teens in Q2, supporting TT’s cautious near-term assumptions. (</w:t>
      </w:r>
      <w:hyperlink r:id="rId27">
        <w:r>
          <w:rPr>
            <w:rStyle w:val="Hyperlink"/>
          </w:rPr>
          <w:t xml:space="preserve">ir.carrier.com</w:t>
        </w:r>
      </w:hyperlink>
      <w:r>
        <w:t xml:space="preserve">)</w:t>
      </w:r>
    </w:p>
    <w:p>
      <w:pPr>
        <w:pStyle w:val="BodyText"/>
      </w:pPr>
      <w:r>
        <w:t xml:space="preserve">Watch bookings more closely than revenue. A recovery in Thermo King orders would support a stronger 2027 setup.</w:t>
      </w:r>
    </w:p>
    <w:bookmarkEnd w:id="28"/>
    <w:bookmarkStart w:id="29" w:name="cash-flow-and-capital-allocation"/>
    <w:p>
      <w:pPr>
        <w:pStyle w:val="Heading3"/>
      </w:pPr>
      <w:r>
        <w:t xml:space="preserve">Cash flow and capital allocation</w:t>
      </w:r>
    </w:p>
    <w:p>
      <w:pPr>
        <w:pStyle w:val="FirstParagraph"/>
      </w:pPr>
      <w:r>
        <w:t xml:space="preserve">Q1 free cash flow was $573 million, substantially above the prior-year period. TT raised capital spending to 2%–3% of revenue to support Commercial HVAC and Stellar capacity while retaining a target of at least 100% free-cash-flow conversion for the year. (</w:t>
      </w:r>
      <w:hyperlink r:id="rId14">
        <w:r>
          <w:rPr>
            <w:rStyle w:val="Hyperlink"/>
          </w:rPr>
          <w:t xml:space="preserve">investors.tranetechnologies.com</w:t>
        </w:r>
      </w:hyperlink>
      <w:r>
        <w:t xml:space="preserve">)</w:t>
      </w:r>
    </w:p>
    <w:p>
      <w:pPr>
        <w:pStyle w:val="BodyText"/>
      </w:pPr>
      <w:r>
        <w:t xml:space="preserve">Investors should monitor receivables, inventory and working capital as backlog conversion accelerates. Management also had approximately $4.4 billion remaining under its repurchase authorization after completing about $300 million of buybacks through April.</w:t>
      </w:r>
    </w:p>
    <w:bookmarkEnd w:id="29"/>
    <w:bookmarkStart w:id="31" w:name="leadership-changes"/>
    <w:p>
      <w:pPr>
        <w:pStyle w:val="Heading3"/>
      </w:pPr>
      <w:r>
        <w:t xml:space="preserve">Leadership changes</w:t>
      </w:r>
    </w:p>
    <w:p>
      <w:pPr>
        <w:pStyle w:val="FirstParagraph"/>
      </w:pPr>
      <w:r>
        <w:t xml:space="preserve">Donny Simmons became chief operating officer effective July 1, bringing regional businesses and operations under one leader. (</w:t>
      </w:r>
      <w:hyperlink r:id="rId30">
        <w:r>
          <w:rPr>
            <w:rStyle w:val="Hyperlink"/>
          </w:rPr>
          <w:t xml:space="preserve">investors.tranetechnologies.com</w:t>
        </w:r>
      </w:hyperlink>
      <w:r>
        <w:t xml:space="preserve">) Separately, Chief Global Integrated Supply Chain Officer Gary Guo is scheduled to leave effective August 1. The company said his departure did not reflect a disagreement over operations, policies, controls or financial matters.</w:t>
      </w:r>
    </w:p>
    <w:p>
      <w:pPr>
        <w:pStyle w:val="BodyText"/>
      </w:pPr>
      <w:r>
        <w:t xml:space="preserve">The latter is probably not a thesis-changing event, but investors may ask about succession and supply-chain continuity given the scale of TT’s capacity expansion.</w:t>
      </w:r>
    </w:p>
    <w:p>
      <w:r>
        <w:pict>
          <v:rect style="width:0;height:1.5pt" o:hralign="center" o:hrstd="t" o:hr="t"/>
        </w:pict>
      </w:r>
    </w:p>
    <w:bookmarkEnd w:id="31"/>
    <w:bookmarkEnd w:id="32"/>
    <w:bookmarkStart w:id="33" w:name="valuation-and-stock-setup"/>
    <w:p>
      <w:pPr>
        <w:pStyle w:val="Heading2"/>
      </w:pPr>
      <w:r>
        <w:t xml:space="preserve">Valuation and stock setup</w:t>
      </w:r>
    </w:p>
    <w:p>
      <w:pPr>
        <w:pStyle w:val="FirstParagraph"/>
      </w:pPr>
      <w:r>
        <w:t xml:space="preserve">TT traded around</w:t>
      </w:r>
      <w:r>
        <w:t xml:space="preserve"> </w:t>
      </w:r>
      <w:r>
        <w:rPr>
          <w:b/>
          <w:bCs/>
        </w:rPr>
        <w:t xml:space="preserve">$449 intraday on July 29</w:t>
      </w:r>
      <w:r>
        <w:t xml:space="preserve">, down sharply ahead of the report amid weakness in HVAC peers. Even after the decline, the shares were approximately 15% above their December 31, 2025 close.</w:t>
      </w:r>
    </w:p>
    <w:p>
      <w:pPr>
        <w:pStyle w:val="BodyText"/>
      </w:pPr>
      <w:r>
        <w:t xml:space="preserve">At that price, TT trades at approximately:</w:t>
      </w:r>
    </w:p>
    <w:p>
      <w:pPr>
        <w:pStyle w:val="Compact"/>
        <w:numPr>
          <w:ilvl w:val="0"/>
          <w:numId w:val="1013"/>
        </w:numPr>
      </w:pPr>
      <w:r>
        <w:rPr>
          <w:b/>
          <w:bCs/>
        </w:rPr>
        <w:t xml:space="preserve">30x</w:t>
      </w:r>
      <w:r>
        <w:t xml:space="preserve"> </w:t>
      </w:r>
      <w:r>
        <w:t xml:space="preserve">the roughly $14.89 FY26 consensus EPS</w:t>
      </w:r>
    </w:p>
    <w:p>
      <w:pPr>
        <w:pStyle w:val="Compact"/>
        <w:numPr>
          <w:ilvl w:val="0"/>
          <w:numId w:val="1013"/>
        </w:numPr>
      </w:pPr>
      <w:r>
        <w:rPr>
          <w:b/>
          <w:bCs/>
        </w:rPr>
        <w:t xml:space="preserve">26x</w:t>
      </w:r>
      <w:r>
        <w:t xml:space="preserve"> </w:t>
      </w:r>
      <w:r>
        <w:t xml:space="preserve">the roughly $16.98 FY27 consensus EPS (</w:t>
      </w:r>
      <w:hyperlink r:id="rId12">
        <w:r>
          <w:rPr>
            <w:rStyle w:val="Hyperlink"/>
          </w:rPr>
          <w:t xml:space="preserve">barchart.com</w:t>
        </w:r>
      </w:hyperlink>
      <w:r>
        <w:t xml:space="preserve">)</w:t>
      </w:r>
    </w:p>
    <w:p>
      <w:pPr>
        <w:pStyle w:val="FirstParagraph"/>
      </w:pPr>
      <w:r>
        <w:t xml:space="preserve">That valuation reflects expectations for sustained double-digit earnings growth, strong data-center exposure and unusually durable Commercial HVAC demand. It also means the market may penalize any sign that:</w:t>
      </w:r>
    </w:p>
    <w:p>
      <w:pPr>
        <w:pStyle w:val="Compact"/>
        <w:numPr>
          <w:ilvl w:val="0"/>
          <w:numId w:val="1014"/>
        </w:numPr>
      </w:pPr>
      <w:r>
        <w:t xml:space="preserve">Backlog is lower quality than assumed</w:t>
      </w:r>
    </w:p>
    <w:p>
      <w:pPr>
        <w:pStyle w:val="Compact"/>
        <w:numPr>
          <w:ilvl w:val="0"/>
          <w:numId w:val="1014"/>
        </w:numPr>
      </w:pPr>
      <w:r>
        <w:t xml:space="preserve">Data-center growth is becoming less profitable</w:t>
      </w:r>
    </w:p>
    <w:p>
      <w:pPr>
        <w:pStyle w:val="Compact"/>
        <w:numPr>
          <w:ilvl w:val="0"/>
          <w:numId w:val="1014"/>
        </w:numPr>
      </w:pPr>
      <w:r>
        <w:t xml:space="preserve">Residential weakness is spreading</w:t>
      </w:r>
    </w:p>
    <w:p>
      <w:pPr>
        <w:pStyle w:val="Compact"/>
        <w:numPr>
          <w:ilvl w:val="0"/>
          <w:numId w:val="1014"/>
        </w:numPr>
      </w:pPr>
      <w:r>
        <w:t xml:space="preserve">Second-half conversion is slipping</w:t>
      </w:r>
    </w:p>
    <w:p>
      <w:pPr>
        <w:pStyle w:val="Compact"/>
        <w:numPr>
          <w:ilvl w:val="0"/>
          <w:numId w:val="1014"/>
        </w:numPr>
      </w:pPr>
      <w:r>
        <w:t xml:space="preserve">Full-year guidance has limited upside</w:t>
      </w:r>
    </w:p>
    <w:p>
      <w:pPr>
        <w:pStyle w:val="FirstParagraph"/>
      </w:pPr>
      <w:r>
        <w:t xml:space="preserve">The recent selloff reduces the immediate hurdle, but TT remains priced as a high-quality compounder rather than a conventional cyclical industrial.</w:t>
      </w:r>
    </w:p>
    <w:p>
      <w:r>
        <w:pict>
          <v:rect style="width:0;height:1.5pt" o:hralign="center" o:hrstd="t" o:hr="t"/>
        </w:pict>
      </w:r>
    </w:p>
    <w:bookmarkEnd w:id="33"/>
    <w:bookmarkStart w:id="37" w:name="scenario-framework"/>
    <w:p>
      <w:pPr>
        <w:pStyle w:val="Heading2"/>
      </w:pPr>
      <w:r>
        <w:t xml:space="preserve">Scenario framework</w:t>
      </w:r>
    </w:p>
    <w:bookmarkStart w:id="34" w:name="bull-case"/>
    <w:p>
      <w:pPr>
        <w:pStyle w:val="Heading3"/>
      </w:pPr>
      <w:r>
        <w:t xml:space="preserve">Bull case</w:t>
      </w:r>
    </w:p>
    <w:p>
      <w:pPr>
        <w:pStyle w:val="Compact"/>
        <w:numPr>
          <w:ilvl w:val="0"/>
          <w:numId w:val="1015"/>
        </w:numPr>
      </w:pPr>
      <w:r>
        <w:t xml:space="preserve">Revenue above $6.2 billion</w:t>
      </w:r>
    </w:p>
    <w:p>
      <w:pPr>
        <w:pStyle w:val="Compact"/>
        <w:numPr>
          <w:ilvl w:val="0"/>
          <w:numId w:val="1015"/>
        </w:numPr>
      </w:pPr>
      <w:r>
        <w:t xml:space="preserve">Adjusted EPS of $4.30 or better</w:t>
      </w:r>
    </w:p>
    <w:p>
      <w:pPr>
        <w:pStyle w:val="Compact"/>
        <w:numPr>
          <w:ilvl w:val="0"/>
          <w:numId w:val="1015"/>
        </w:numPr>
      </w:pPr>
      <w:r>
        <w:t xml:space="preserve">Organic growth above 5%</w:t>
      </w:r>
    </w:p>
    <w:p>
      <w:pPr>
        <w:pStyle w:val="Compact"/>
        <w:numPr>
          <w:ilvl w:val="0"/>
          <w:numId w:val="1015"/>
        </w:numPr>
      </w:pPr>
      <w:r>
        <w:t xml:space="preserve">Commercial HVAC bookings remain strong in absolute dollars</w:t>
      </w:r>
    </w:p>
    <w:p>
      <w:pPr>
        <w:pStyle w:val="Compact"/>
        <w:numPr>
          <w:ilvl w:val="0"/>
          <w:numId w:val="1015"/>
        </w:numPr>
      </w:pPr>
      <w:r>
        <w:t xml:space="preserve">Backlog stays near record levels despite increased shipments</w:t>
      </w:r>
    </w:p>
    <w:p>
      <w:pPr>
        <w:pStyle w:val="Compact"/>
        <w:numPr>
          <w:ilvl w:val="0"/>
          <w:numId w:val="1015"/>
        </w:numPr>
      </w:pPr>
      <w:r>
        <w:t xml:space="preserve">Stable-to-higher adjusted margin</w:t>
      </w:r>
    </w:p>
    <w:p>
      <w:pPr>
        <w:pStyle w:val="Compact"/>
        <w:numPr>
          <w:ilvl w:val="0"/>
          <w:numId w:val="1015"/>
        </w:numPr>
      </w:pPr>
      <w:r>
        <w:t xml:space="preserve">FY26 EPS guidance moves above $15</w:t>
      </w:r>
    </w:p>
    <w:p>
      <w:pPr>
        <w:pStyle w:val="Compact"/>
        <w:numPr>
          <w:ilvl w:val="0"/>
          <w:numId w:val="1015"/>
        </w:numPr>
      </w:pPr>
      <w:r>
        <w:t xml:space="preserve">Low-teens second-half revenue growth reaffirmed or raised</w:t>
      </w:r>
    </w:p>
    <w:p>
      <w:pPr>
        <w:pStyle w:val="FirstParagraph"/>
      </w:pPr>
      <w:r>
        <w:rPr>
          <w:b/>
          <w:bCs/>
        </w:rPr>
        <w:t xml:space="preserve">Likely interpretation:</w:t>
      </w:r>
      <w:r>
        <w:t xml:space="preserve"> </w:t>
      </w:r>
      <w:r>
        <w:t xml:space="preserve">Data-center and broader applied demand continue to convert with attractive economics, supporting premium valuation and further estimate increases.</w:t>
      </w:r>
    </w:p>
    <w:bookmarkEnd w:id="34"/>
    <w:bookmarkStart w:id="35" w:name="base-case"/>
    <w:p>
      <w:pPr>
        <w:pStyle w:val="Heading3"/>
      </w:pPr>
      <w:r>
        <w:t xml:space="preserve">Base case</w:t>
      </w:r>
    </w:p>
    <w:p>
      <w:pPr>
        <w:pStyle w:val="Compact"/>
        <w:numPr>
          <w:ilvl w:val="0"/>
          <w:numId w:val="1016"/>
        </w:numPr>
      </w:pPr>
      <w:r>
        <w:t xml:space="preserve">Revenue near</w:t>
      </w:r>
      <w:r>
        <w:t xml:space="preserve"> </w:t>
      </w:r>
      <m:oMath>
        <m:r>
          <m:t>6.15</m:t>
        </m:r>
        <m:r>
          <m:rPr>
            <m:sty m:val="p"/>
          </m:rPr>
          <m:t>–</m:t>
        </m:r>
      </m:oMath>
      <w:r>
        <w:t xml:space="preserve">6.2 billion</w:t>
      </w:r>
    </w:p>
    <w:p>
      <w:pPr>
        <w:pStyle w:val="Compact"/>
        <w:numPr>
          <w:ilvl w:val="0"/>
          <w:numId w:val="1016"/>
        </w:numPr>
      </w:pPr>
      <w:r>
        <w:t xml:space="preserve">Adjusted EPS around</w:t>
      </w:r>
      <w:r>
        <w:t xml:space="preserve"> </w:t>
      </w:r>
      <m:oMath>
        <m:r>
          <m:t>4.25</m:t>
        </m:r>
        <m:r>
          <m:rPr>
            <m:sty m:val="p"/>
          </m:rPr>
          <m:t>–</m:t>
        </m:r>
      </m:oMath>
      <w:r>
        <w:t xml:space="preserve">4.30</w:t>
      </w:r>
    </w:p>
    <w:p>
      <w:pPr>
        <w:pStyle w:val="Compact"/>
        <w:numPr>
          <w:ilvl w:val="0"/>
          <w:numId w:val="1016"/>
        </w:numPr>
      </w:pPr>
      <w:r>
        <w:t xml:space="preserve">Organic growth around 5%</w:t>
      </w:r>
    </w:p>
    <w:p>
      <w:pPr>
        <w:pStyle w:val="Compact"/>
        <w:numPr>
          <w:ilvl w:val="0"/>
          <w:numId w:val="1016"/>
        </w:numPr>
      </w:pPr>
      <w:r>
        <w:t xml:space="preserve">Bookings normalize from Q1’s exceptional level</w:t>
      </w:r>
    </w:p>
    <w:p>
      <w:pPr>
        <w:pStyle w:val="Compact"/>
        <w:numPr>
          <w:ilvl w:val="0"/>
          <w:numId w:val="1016"/>
        </w:numPr>
      </w:pPr>
      <w:r>
        <w:t xml:space="preserve">Margins approximately flat</w:t>
      </w:r>
    </w:p>
    <w:p>
      <w:pPr>
        <w:pStyle w:val="Compact"/>
        <w:numPr>
          <w:ilvl w:val="0"/>
          <w:numId w:val="1016"/>
        </w:numPr>
      </w:pPr>
      <w:r>
        <w:t xml:space="preserve">Guidance raised modestly to capture the Q2 result</w:t>
      </w:r>
    </w:p>
    <w:p>
      <w:pPr>
        <w:pStyle w:val="Compact"/>
        <w:numPr>
          <w:ilvl w:val="0"/>
          <w:numId w:val="1016"/>
        </w:numPr>
      </w:pPr>
      <w:r>
        <w:t xml:space="preserve">Second-half framework unchanged</w:t>
      </w:r>
    </w:p>
    <w:p>
      <w:pPr>
        <w:pStyle w:val="FirstParagraph"/>
      </w:pPr>
      <w:r>
        <w:rPr>
          <w:b/>
          <w:bCs/>
        </w:rPr>
        <w:t xml:space="preserve">Likely interpretation:</w:t>
      </w:r>
      <w:r>
        <w:t xml:space="preserve"> </w:t>
      </w:r>
      <w:r>
        <w:t xml:space="preserve">Fundamentally solid, but the share reaction may depend on order commentary and the size of the guidance increase.</w:t>
      </w:r>
    </w:p>
    <w:bookmarkEnd w:id="35"/>
    <w:bookmarkStart w:id="36" w:name="bear-case"/>
    <w:p>
      <w:pPr>
        <w:pStyle w:val="Heading3"/>
      </w:pPr>
      <w:r>
        <w:t xml:space="preserve">Bear case</w:t>
      </w:r>
    </w:p>
    <w:p>
      <w:pPr>
        <w:pStyle w:val="Compact"/>
        <w:numPr>
          <w:ilvl w:val="0"/>
          <w:numId w:val="1017"/>
        </w:numPr>
      </w:pPr>
      <w:r>
        <w:t xml:space="preserve">Revenue below $6.1 billion or adjusted EPS below $4.20</w:t>
      </w:r>
    </w:p>
    <w:p>
      <w:pPr>
        <w:pStyle w:val="Compact"/>
        <w:numPr>
          <w:ilvl w:val="0"/>
          <w:numId w:val="1017"/>
        </w:numPr>
      </w:pPr>
      <w:r>
        <w:t xml:space="preserve">Applied bookings decline sharply in absolute terms</w:t>
      </w:r>
    </w:p>
    <w:p>
      <w:pPr>
        <w:pStyle w:val="Compact"/>
        <w:numPr>
          <w:ilvl w:val="0"/>
          <w:numId w:val="1017"/>
        </w:numPr>
      </w:pPr>
      <w:r>
        <w:t xml:space="preserve">Backlog falls because of cancellations or project delays</w:t>
      </w:r>
    </w:p>
    <w:p>
      <w:pPr>
        <w:pStyle w:val="Compact"/>
        <w:numPr>
          <w:ilvl w:val="0"/>
          <w:numId w:val="1017"/>
        </w:numPr>
      </w:pPr>
      <w:r>
        <w:t xml:space="preserve">Margin pressure from tariffs, mix and acquisition investment</w:t>
      </w:r>
    </w:p>
    <w:p>
      <w:pPr>
        <w:pStyle w:val="Compact"/>
        <w:numPr>
          <w:ilvl w:val="0"/>
          <w:numId w:val="1017"/>
        </w:numPr>
      </w:pPr>
      <w:r>
        <w:t xml:space="preserve">Residential materially below the flat expectation</w:t>
      </w:r>
    </w:p>
    <w:p>
      <w:pPr>
        <w:pStyle w:val="Compact"/>
        <w:numPr>
          <w:ilvl w:val="0"/>
          <w:numId w:val="1017"/>
        </w:numPr>
      </w:pPr>
      <w:r>
        <w:t xml:space="preserve">Second-half growth is deferred</w:t>
      </w:r>
    </w:p>
    <w:p>
      <w:pPr>
        <w:pStyle w:val="Compact"/>
        <w:numPr>
          <w:ilvl w:val="0"/>
          <w:numId w:val="1017"/>
        </w:numPr>
      </w:pPr>
      <w:r>
        <w:t xml:space="preserve">Guidance maintained or reduced</w:t>
      </w:r>
    </w:p>
    <w:p>
      <w:pPr>
        <w:pStyle w:val="FirstParagraph"/>
      </w:pPr>
      <w:r>
        <w:rPr>
          <w:b/>
          <w:bCs/>
        </w:rPr>
        <w:t xml:space="preserve">Likely interpretation:</w:t>
      </w:r>
      <w:r>
        <w:t xml:space="preserve"> </w:t>
      </w:r>
      <w:r>
        <w:t xml:space="preserve">The market would question both the timing of backlog conversion and the profitability of TT’s data-center expansion, creating valuation-compression risk.</w:t>
      </w:r>
    </w:p>
    <w:p>
      <w:r>
        <w:pict>
          <v:rect style="width:0;height:1.5pt" o:hralign="center" o:hrstd="t" o:hr="t"/>
        </w:pict>
      </w:r>
    </w:p>
    <w:bookmarkEnd w:id="36"/>
    <w:bookmarkEnd w:id="37"/>
    <w:bookmarkStart w:id="38" w:name="bottom-line"/>
    <w:p>
      <w:pPr>
        <w:pStyle w:val="Heading2"/>
      </w:pPr>
      <w:r>
        <w:t xml:space="preserve">Bottom line</w:t>
      </w:r>
    </w:p>
    <w:p>
      <w:pPr>
        <w:pStyle w:val="FirstParagraph"/>
      </w:pPr>
      <w:r>
        <w:t xml:space="preserve">TT has an excellent strategic setup but a demanding earnings hurdle. Record backlog and data-center demand substantially reduce near-term revenue risk; the bigger uncertainty is</w:t>
      </w:r>
      <w:r>
        <w:t xml:space="preserve"> </w:t>
      </w:r>
      <w:r>
        <w:rPr>
          <w:b/>
          <w:bCs/>
        </w:rPr>
        <w:t xml:space="preserve">margin conversion and the durability of second-half expectations</w:t>
      </w:r>
      <w:r>
        <w:t xml:space="preserve">.</w:t>
      </w:r>
    </w:p>
    <w:p>
      <w:pPr>
        <w:pStyle w:val="BodyText"/>
      </w:pPr>
      <w:r>
        <w:t xml:space="preserve">The best signal would not simply be another extraordinary bookings number. It would be a balanced report featuring:</w:t>
      </w:r>
    </w:p>
    <w:p>
      <w:pPr>
        <w:pStyle w:val="Compact"/>
        <w:numPr>
          <w:ilvl w:val="0"/>
          <w:numId w:val="1018"/>
        </w:numPr>
      </w:pPr>
      <w:r>
        <w:t xml:space="preserve">Healthy absolute Commercial HVAC orders</w:t>
      </w:r>
    </w:p>
    <w:p>
      <w:pPr>
        <w:pStyle w:val="Compact"/>
        <w:numPr>
          <w:ilvl w:val="0"/>
          <w:numId w:val="1018"/>
        </w:numPr>
      </w:pPr>
      <w:r>
        <w:t xml:space="preserve">Continued backlog conversion</w:t>
      </w:r>
    </w:p>
    <w:p>
      <w:pPr>
        <w:pStyle w:val="Compact"/>
        <w:numPr>
          <w:ilvl w:val="0"/>
          <w:numId w:val="1018"/>
        </w:numPr>
      </w:pPr>
      <w:r>
        <w:t xml:space="preserve">Mid-20% organic leverage</w:t>
      </w:r>
    </w:p>
    <w:p>
      <w:pPr>
        <w:pStyle w:val="Compact"/>
        <w:numPr>
          <w:ilvl w:val="0"/>
          <w:numId w:val="1018"/>
        </w:numPr>
      </w:pPr>
      <w:r>
        <w:t xml:space="preserve">Residential stabilization</w:t>
      </w:r>
    </w:p>
    <w:p>
      <w:pPr>
        <w:pStyle w:val="Compact"/>
        <w:numPr>
          <w:ilvl w:val="0"/>
          <w:numId w:val="1018"/>
        </w:numPr>
      </w:pPr>
      <w:r>
        <w:t xml:space="preserve">Contained EMEA pressure</w:t>
      </w:r>
    </w:p>
    <w:p>
      <w:pPr>
        <w:pStyle w:val="Compact"/>
        <w:numPr>
          <w:ilvl w:val="0"/>
          <w:numId w:val="1018"/>
        </w:numPr>
      </w:pPr>
      <w:r>
        <w:t xml:space="preserve">A credible increase to full-year EPS guidance</w:t>
      </w:r>
    </w:p>
    <w:p>
      <w:pPr>
        <w:pStyle w:val="FirstParagraph"/>
      </w:pPr>
      <w:r>
        <w:t xml:space="preserve">Going into the report, the risk/reward is improved by the pre-earnings selloff, but the valuation still requires execution. For the stock to respond positively, TT likely needs to do more than meet the quarter—it needs to demonstrate that record demand is becoming profitable, cash-generative growth.</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tranetechnologies.com/news-and-events/events/default.aspx?utm_source=openai" TargetMode="External" /><Relationship Type="http://schemas.openxmlformats.org/officeDocument/2006/relationships/hyperlink" Id="rId30" Target="https://investors.tranetechnologies.com/news-and-events/news-releases/news-release-details/2026/Trane-Technologies-Names-Donny-Simmons-as-Chief-Operating-Officer/default.aspx?utm_source=openai" TargetMode="External" /><Relationship Type="http://schemas.openxmlformats.org/officeDocument/2006/relationships/hyperlink" Id="rId21" Target="https://investors.tranetechnologies.com/news-and-events/news-releases/news-release-details/2026/Trane-Technologies-Reports-Strong-First-Quarter-Results-Raises-Full-Year-Revenue-and-EPS-Guidance/default.aspx" TargetMode="External" /><Relationship Type="http://schemas.openxmlformats.org/officeDocument/2006/relationships/hyperlink" Id="rId14" Target="https://investors.tranetechnologies.com/news-and-events/news-releases/news-release-details/2026/Trane-Technologies-Reports-Strong-First-Quarter-Results-Raises-Full-Year-Revenue-and-EPS-Guidance/default.aspx?utm_source=openai" TargetMode="External" /><Relationship Type="http://schemas.openxmlformats.org/officeDocument/2006/relationships/hyperlink" Id="rId27" Target="https://ir.carrier.com/news/news-details/2026/Carrier-Reports-Second-Quarter-2026-Results/default.aspx?utm_source=openai" TargetMode="External" /><Relationship Type="http://schemas.openxmlformats.org/officeDocument/2006/relationships/hyperlink" Id="rId12" Target="https://www.barchart.com/stocks/quotes/TT/earnings-estimates?utm_source=openai" TargetMode="External" /><Relationship Type="http://schemas.openxmlformats.org/officeDocument/2006/relationships/hyperlink" Id="rId11" Target="https://www.benzinga.com/quote/TT/earnings?utm_source=openai" TargetMode="External" /><Relationship Type="http://schemas.openxmlformats.org/officeDocument/2006/relationships/hyperlink" Id="rId18" Target="https://www.carrier.com/us/en/news/carrierreports-second-quarter-2026-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tranetechnologies.com/news-and-events/events/default.aspx?utm_source=openai" TargetMode="External" /><Relationship Type="http://schemas.openxmlformats.org/officeDocument/2006/relationships/hyperlink" Id="rId30" Target="https://investors.tranetechnologies.com/news-and-events/news-releases/news-release-details/2026/Trane-Technologies-Names-Donny-Simmons-as-Chief-Operating-Officer/default.aspx?utm_source=openai" TargetMode="External" /><Relationship Type="http://schemas.openxmlformats.org/officeDocument/2006/relationships/hyperlink" Id="rId21" Target="https://investors.tranetechnologies.com/news-and-events/news-releases/news-release-details/2026/Trane-Technologies-Reports-Strong-First-Quarter-Results-Raises-Full-Year-Revenue-and-EPS-Guidance/default.aspx" TargetMode="External" /><Relationship Type="http://schemas.openxmlformats.org/officeDocument/2006/relationships/hyperlink" Id="rId14" Target="https://investors.tranetechnologies.com/news-and-events/news-releases/news-release-details/2026/Trane-Technologies-Reports-Strong-First-Quarter-Results-Raises-Full-Year-Revenue-and-EPS-Guidance/default.aspx?utm_source=openai" TargetMode="External" /><Relationship Type="http://schemas.openxmlformats.org/officeDocument/2006/relationships/hyperlink" Id="rId27" Target="https://ir.carrier.com/news/news-details/2026/Carrier-Reports-Second-Quarter-2026-Results/default.aspx?utm_source=openai" TargetMode="External" /><Relationship Type="http://schemas.openxmlformats.org/officeDocument/2006/relationships/hyperlink" Id="rId12" Target="https://www.barchart.com/stocks/quotes/TT/earnings-estimates?utm_source=openai" TargetMode="External" /><Relationship Type="http://schemas.openxmlformats.org/officeDocument/2006/relationships/hyperlink" Id="rId11" Target="https://www.benzinga.com/quote/TT/earnings?utm_source=openai" TargetMode="External" /><Relationship Type="http://schemas.openxmlformats.org/officeDocument/2006/relationships/hyperlink" Id="rId18" Target="https://www.carrier.com/us/en/news/carrierreports-second-quarter-2026-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2026-07-29T18:57:24Z</dcterms:created>
  <dcterms:modified xsi:type="dcterms:W3CDTF">2026-07-29T18:57:24Z</dcterms:modified>
</cp:coreProperties>
</file>

<file path=docProps/custom.xml><?xml version="1.0" encoding="utf-8"?>
<Properties xmlns="http://schemas.openxmlformats.org/officeDocument/2006/custom-properties" xmlns:vt="http://schemas.openxmlformats.org/officeDocument/2006/docPropsVTypes"/>
</file>