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-earnings-predictions--2026-07-30"/>
    <w:p>
      <w:pPr>
        <w:pStyle w:val="Heading1"/>
      </w:pPr>
      <w:r>
        <w:t xml:space="preserve">TT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~$4.31 vs. cons $4.25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~$6.19B vs. cons $6.18B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~20.7% vs. cons 20.4%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~$14.85 vs. cons $14.92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vs. cons 7.0%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second-half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~$7.91 vs. cons $8.04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Day-1 residual ~+1.5% vs. 0.0% market-adjusted baseline on a ~$4.31 EPS result versus</w:t>
            </w:r>
            <w:r>
              <w:t xml:space="preserve"> </w:t>
            </w:r>
            <m:oMath>
              <m:r>
                <m:t>4.25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14.85 FY2026 EPS guide versus</w:t>
            </w:r>
            <w:r>
              <w:t xml:space="preserve"> </w:t>
            </w:r>
            <m:oMath>
              <m:r>
                <m:t>14.92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 </m:t>
              </m:r>
            </m:oMath>
            <w:r>
              <w:t xml:space="preserve">7.91 of 2H EPS versus ~$8.04 consensus, pulling out-period estimates lower after the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2026-07-29T18:56:04Z</dcterms:created>
  <dcterms:modified xsi:type="dcterms:W3CDTF">2026-07-29T18:56:04Z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