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2fdb9824cbacc0d713c1166dd51dd4fc0f5baf"/>
    <w:p>
      <w:pPr>
        <w:pStyle w:val="Heading1"/>
      </w:pPr>
      <w:r>
        <w:t xml:space="preserve">Trane Technologies (NYSE: TT) — 2Q26 Earnings Preview</w:t>
      </w:r>
    </w:p>
    <w:p>
      <w:pPr>
        <w:pStyle w:val="FirstParagraph"/>
      </w:pPr>
      <w:r>
        <w:rPr>
          <w:b/>
          <w:bCs/>
        </w:rPr>
        <w:t xml:space="preserve">Event:</w:t>
      </w:r>
      <w:r>
        <w:t xml:space="preserve"> </w:t>
      </w:r>
      <w:r>
        <w:t xml:space="preserve">Thursday, July 30, 2026; conference call at</w:t>
      </w:r>
      <w:r>
        <w:t xml:space="preserve"> </w:t>
      </w:r>
      <w:r>
        <w:rPr>
          <w:b/>
          <w:bCs/>
        </w:rPr>
        <w:t xml:space="preserve">10:00 a.m. ET</w:t>
      </w:r>
      <w:r>
        <w:br/>
      </w:r>
      <w:r>
        <w:rPr>
          <w:b/>
          <w:bCs/>
        </w:rPr>
        <w:t xml:space="preserve">What matters most:</w:t>
      </w:r>
      <w:r>
        <w:t xml:space="preserve"> </w:t>
      </w:r>
      <w:r>
        <w:t xml:space="preserve">Whether Trane can convert its exceptional commercial-HVAC order momentum and record backlog into the revenue acceleration and margin expansion embedded in its second-half outlook—while containing the expected drags from transport refrigeration and the Middle East.</w:t>
      </w:r>
    </w:p>
    <w:bookmarkStart w:id="9" w:name="preview-in-brief"/>
    <w:p>
      <w:pPr>
        <w:pStyle w:val="Heading2"/>
      </w:pPr>
      <w:r>
        <w:t xml:space="preserve">Preview in brief</w:t>
      </w:r>
    </w:p>
    <w:p>
      <w:pPr>
        <w:pStyle w:val="FirstParagraph"/>
      </w:pPr>
      <w:r>
        <w:t xml:space="preserve">TT enters 2Q26 with a favorable fundamental setup but a high bar around execution. In 1Q, organic bookings rose</w:t>
      </w:r>
      <w:r>
        <w:t xml:space="preserve"> </w:t>
      </w:r>
      <w:r>
        <w:rPr>
          <w:b/>
          <w:bCs/>
        </w:rPr>
        <w:t xml:space="preserve">24%</w:t>
      </w:r>
      <w:r>
        <w:t xml:space="preserve">, driven by roughly</w:t>
      </w:r>
      <w:r>
        <w:t xml:space="preserve"> </w:t>
      </w:r>
      <w:r>
        <w:rPr>
          <w:b/>
          <w:bCs/>
        </w:rPr>
        <w:t xml:space="preserve">40%</w:t>
      </w:r>
      <w:r>
        <w:t xml:space="preserve"> </w:t>
      </w:r>
      <w:r>
        <w:t xml:space="preserve">growth in Americas Commercial HVAC bookings and more than</w:t>
      </w:r>
      <w:r>
        <w:t xml:space="preserve"> </w:t>
      </w:r>
      <w:r>
        <w:rPr>
          <w:b/>
          <w:bCs/>
        </w:rPr>
        <w:t xml:space="preserve">160%</w:t>
      </w:r>
      <w:r>
        <w:t xml:space="preserve"> </w:t>
      </w:r>
      <w:r>
        <w:t xml:space="preserve">growth in applied-equipment orders. Backlog reached a record</w:t>
      </w:r>
      <w:r>
        <w:t xml:space="preserve"> </w:t>
      </w:r>
      <w:r>
        <w:rPr>
          <w:b/>
          <w:bCs/>
        </w:rPr>
        <w:t xml:space="preserve">$10.7 billion</w:t>
      </w:r>
      <w:r>
        <w:t xml:space="preserve">, including substantial data-center-related demand and roughly $1 billion of backlog associated with the Stellar Energy acquisition.</w:t>
      </w:r>
    </w:p>
    <w:p>
      <w:pPr>
        <w:pStyle w:val="BodyText"/>
      </w:pPr>
      <w:r>
        <w:t xml:space="preserve">The near-term earnings setup is more balanced:</w:t>
      </w:r>
    </w:p>
    <w:p>
      <w:pPr>
        <w:pStyle w:val="Compact"/>
        <w:numPr>
          <w:ilvl w:val="0"/>
          <w:numId w:val="1001"/>
        </w:numPr>
      </w:pPr>
      <w:r>
        <w:rPr>
          <w:b/>
          <w:bCs/>
        </w:rPr>
        <w:t xml:space="preserve">Commercial HVAC:</w:t>
      </w:r>
      <w:r>
        <w:t xml:space="preserve"> </w:t>
      </w:r>
      <w:r>
        <w:t xml:space="preserve">Strong backlog conversion should support results, especially in Americas applied systems and services.</w:t>
      </w:r>
    </w:p>
    <w:p>
      <w:pPr>
        <w:pStyle w:val="Compact"/>
        <w:numPr>
          <w:ilvl w:val="0"/>
          <w:numId w:val="1001"/>
        </w:numPr>
      </w:pPr>
      <w:r>
        <w:rPr>
          <w:b/>
          <w:bCs/>
        </w:rPr>
        <w:t xml:space="preserve">Margins:</w:t>
      </w:r>
      <w:r>
        <w:t xml:space="preserve"> </w:t>
      </w:r>
      <w:r>
        <w:t xml:space="preserve">Management expects organic operating leverage to improve from the high teens in 1Q to the</w:t>
      </w:r>
      <w:r>
        <w:t xml:space="preserve"> </w:t>
      </w:r>
      <w:r>
        <w:rPr>
          <w:b/>
          <w:bCs/>
        </w:rPr>
        <w:t xml:space="preserve">mid-20% range in 2Q</w:t>
      </w:r>
      <w:r>
        <w:t xml:space="preserve">, with further improvement in the second half.</w:t>
      </w:r>
    </w:p>
    <w:p>
      <w:pPr>
        <w:pStyle w:val="Compact"/>
        <w:numPr>
          <w:ilvl w:val="0"/>
          <w:numId w:val="1001"/>
        </w:numPr>
      </w:pPr>
      <w:r>
        <w:rPr>
          <w:b/>
          <w:bCs/>
        </w:rPr>
        <w:t xml:space="preserve">Headwinds:</w:t>
      </w:r>
      <w:r>
        <w:t xml:space="preserve"> </w:t>
      </w:r>
      <w:r>
        <w:t xml:space="preserve">The company explicitly forecast approximately</w:t>
      </w:r>
      <w:r>
        <w:t xml:space="preserve"> </w:t>
      </w:r>
      <m:oMath>
        <m:r>
          <m:t>50</m:t>
        </m:r>
        <m:r>
          <m:t>m</m:t>
        </m:r>
        <m:r>
          <m:t>i</m:t>
        </m:r>
        <m:r>
          <m:t>l</m:t>
        </m:r>
        <m:r>
          <m:t>l</m:t>
        </m:r>
        <m:r>
          <m:t>i</m:t>
        </m:r>
        <m:r>
          <m:t>o</m:t>
        </m:r>
        <m:r>
          <m:t>n</m:t>
        </m:r>
        <m:r>
          <m:t>o</m:t>
        </m:r>
        <m:r>
          <m:t>f</m:t>
        </m:r>
        <m:r>
          <m:t>M</m:t>
        </m:r>
        <m:r>
          <m:t>i</m:t>
        </m:r>
        <m:r>
          <m:t>d</m:t>
        </m:r>
        <m:r>
          <m:t>d</m:t>
        </m:r>
        <m:r>
          <m:t>l</m:t>
        </m:r>
        <m:r>
          <m:t>e</m:t>
        </m:r>
        <m:r>
          <m:t>E</m:t>
        </m:r>
        <m:r>
          <m:t>a</m:t>
        </m:r>
        <m:r>
          <m:t>s</m:t>
        </m:r>
        <m:r>
          <m:t>t</m:t>
        </m:r>
        <m:r>
          <m:t>r</m:t>
        </m:r>
        <m:r>
          <m:t>e</m:t>
        </m:r>
        <m:r>
          <m:t>v</m:t>
        </m:r>
        <m:r>
          <m:t>e</m:t>
        </m:r>
        <m:r>
          <m:t>n</m:t>
        </m:r>
        <m:r>
          <m:t>u</m:t>
        </m:r>
        <m:r>
          <m:t>e</m:t>
        </m:r>
        <m:r>
          <m:t>p</m:t>
        </m:r>
        <m:r>
          <m:t>r</m:t>
        </m:r>
        <m:r>
          <m:t>e</m:t>
        </m:r>
        <m:r>
          <m:t>s</m:t>
        </m:r>
        <m:r>
          <m:t>s</m:t>
        </m:r>
        <m:r>
          <m:t>u</m:t>
        </m:r>
        <m:r>
          <m:t>r</m:t>
        </m:r>
        <m:r>
          <m:t>e</m:t>
        </m:r>
        <m:r>
          <m:rPr>
            <m:sty m:val="p"/>
          </m:rPr>
          <m:t>*</m:t>
        </m:r>
        <m:r>
          <m:rPr>
            <m:sty m:val="p"/>
          </m:rPr>
          <m:t>*</m:t>
        </m:r>
        <m:r>
          <m:t>a</m:t>
        </m:r>
        <m:r>
          <m:t>n</m:t>
        </m:r>
        <m:r>
          <m:t>d</m:t>
        </m:r>
        <m:r>
          <m:t>a</m:t>
        </m:r>
        <m:r>
          <m:t>r</m:t>
        </m:r>
        <m:r>
          <m:t>o</m:t>
        </m:r>
        <m:r>
          <m:t>u</m:t>
        </m:r>
        <m:r>
          <m:t>g</m:t>
        </m:r>
        <m:r>
          <m:t>h</m:t>
        </m:r>
        <m:r>
          <m:t>l</m:t>
        </m:r>
        <m:r>
          <m:t>y</m:t>
        </m:r>
        <m:r>
          <m:rPr>
            <m:sty m:val="p"/>
          </m:rPr>
          <m:t>*</m:t>
        </m:r>
        <m:r>
          <m:rPr>
            <m:sty m:val="p"/>
          </m:rPr>
          <m:t>*</m:t>
        </m:r>
      </m:oMath>
      <w:r>
        <w:rPr>
          <w:b/>
          <w:bCs/>
        </w:rPr>
        <w:t xml:space="preserve">0.05 EPS impact</w:t>
      </w:r>
      <w:r>
        <w:t xml:space="preserve"> </w:t>
      </w:r>
      <w:r>
        <w:t xml:space="preserve">in 2Q. Americas transport refrigeration is expected to decline by roughly the mid-teens in the quarter due partly to shipment timing.</w:t>
      </w:r>
    </w:p>
    <w:p>
      <w:pPr>
        <w:pStyle w:val="Compact"/>
        <w:numPr>
          <w:ilvl w:val="0"/>
          <w:numId w:val="1001"/>
        </w:numPr>
      </w:pPr>
      <w:r>
        <w:rPr>
          <w:b/>
          <w:bCs/>
        </w:rPr>
        <w:t xml:space="preserve">Guidance credibility:</w:t>
      </w:r>
      <w:r>
        <w:t xml:space="preserve"> </w:t>
      </w:r>
      <w:r>
        <w:t xml:space="preserve">The key debate will be whether Q2 supports confidence in the raised full-year framework—not necessarily whether the company raises guidance again.</w:t>
      </w:r>
    </w:p>
    <w:p>
      <w:pPr>
        <w:pStyle w:val="FirstParagraph"/>
      </w:pPr>
      <w:r>
        <w:t xml:space="preserve">TT guided to</w:t>
      </w:r>
      <w:r>
        <w:t xml:space="preserve"> </w:t>
      </w:r>
      <w:r>
        <w:rPr>
          <w:b/>
          <w:bCs/>
        </w:rPr>
        <w:t xml:space="preserve">2Q adjusted EPS of</w:t>
      </w:r>
      <w:r>
        <w:rPr>
          <w:b/>
          <w:bCs/>
        </w:rPr>
        <w:t xml:space="preserve"> </w:t>
      </w:r>
      <m:oMath>
        <m:r>
          <m:t>4.20</m:t>
        </m:r>
        <m:r>
          <m:rPr>
            <m:sty m:val="p"/>
          </m:rPr>
          <m:t>–</m:t>
        </m:r>
      </m:oMath>
      <w:r>
        <w:rPr>
          <w:b/>
          <w:bCs/>
        </w:rPr>
        <w:t xml:space="preserve">4.25</w:t>
      </w:r>
      <w:r>
        <w:t xml:space="preserve"> </w:t>
      </w:r>
      <w:r>
        <w:t xml:space="preserve">and approximately</w:t>
      </w:r>
      <w:r>
        <w:t xml:space="preserve"> </w:t>
      </w:r>
      <w:r>
        <w:rPr>
          <w:b/>
          <w:bCs/>
        </w:rPr>
        <w:t xml:space="preserve">5% organic revenue growth</w:t>
      </w:r>
      <w:r>
        <w:t xml:space="preserve">. At the midpoint, that EPS outlook implies roughly</w:t>
      </w:r>
      <w:r>
        <w:t xml:space="preserve"> </w:t>
      </w:r>
      <w:r>
        <w:rPr>
          <w:b/>
          <w:bCs/>
        </w:rPr>
        <w:t xml:space="preserve">8%–10% growth</w:t>
      </w:r>
      <w:r>
        <w:t xml:space="preserve"> </w:t>
      </w:r>
      <w:r>
        <w:t xml:space="preserve">from 2Q25 adjusted EPS of</w:t>
      </w:r>
      <w:r>
        <w:t xml:space="preserve"> </w:t>
      </w:r>
      <m:oMath>
        <m:r>
          <m:t>3.88</m:t>
        </m:r>
        <m:r>
          <m:rPr>
            <m:sty m:val="p"/>
          </m:rPr>
          <m:t>.</m:t>
        </m:r>
        <m:r>
          <m:t>F</m:t>
        </m:r>
        <m:r>
          <m:t>u</m:t>
        </m:r>
        <m:r>
          <m:t>l</m:t>
        </m:r>
        <m:r>
          <m:t>l</m:t>
        </m:r>
        <m:r>
          <m:rPr>
            <m:sty m:val="p"/>
          </m:rPr>
          <m:t>−</m:t>
        </m:r>
        <m:r>
          <m:t>y</m:t>
        </m:r>
        <m:r>
          <m:t>e</m:t>
        </m:r>
        <m:r>
          <m:t>a</m:t>
        </m:r>
        <m:r>
          <m:t>r</m:t>
        </m:r>
        <m:r>
          <m:t>a</m:t>
        </m:r>
        <m:r>
          <m:t>d</m:t>
        </m:r>
        <m:r>
          <m:t>j</m:t>
        </m:r>
        <m:r>
          <m:t>u</m:t>
        </m:r>
        <m:r>
          <m:t>s</m:t>
        </m:r>
        <m:r>
          <m:t>t</m:t>
        </m:r>
        <m:r>
          <m:t>e</m:t>
        </m:r>
        <m:r>
          <m:t>d</m:t>
        </m:r>
        <m:r>
          <m:t>E</m:t>
        </m:r>
        <m:r>
          <m:t>P</m:t>
        </m:r>
        <m:r>
          <m:t>S</m:t>
        </m:r>
        <m:r>
          <m:t>g</m:t>
        </m:r>
        <m:r>
          <m:t>u</m:t>
        </m:r>
        <m:r>
          <m:t>i</m:t>
        </m:r>
        <m:r>
          <m:t>d</m:t>
        </m:r>
        <m:r>
          <m:t>a</m:t>
        </m:r>
        <m:r>
          <m:t>n</m:t>
        </m:r>
        <m:r>
          <m:t>c</m:t>
        </m:r>
        <m:r>
          <m:t>e</m:t>
        </m:r>
        <m:r>
          <m:t>r</m:t>
        </m:r>
        <m:r>
          <m:t>e</m:t>
        </m:r>
        <m:r>
          <m:t>m</m:t>
        </m:r>
        <m:r>
          <m:t>a</m:t>
        </m:r>
        <m:r>
          <m:t>i</m:t>
        </m:r>
        <m:r>
          <m:t>n</m:t>
        </m:r>
        <m:r>
          <m:t>s</m:t>
        </m:r>
        <m:r>
          <m:rPr>
            <m:sty m:val="p"/>
          </m:rPr>
          <m:t>*</m:t>
        </m:r>
        <m:r>
          <m:rPr>
            <m:sty m:val="p"/>
          </m:rPr>
          <m:t>*</m:t>
        </m:r>
      </m:oMath>
      <w:r>
        <w:t xml:space="preserve">14.75–</w:t>
      </w:r>
      <m:oMath>
        <m:r>
          <m:t>14.95</m:t>
        </m:r>
        <m:r>
          <m:rPr>
            <m:sty m:val="p"/>
          </m:rPr>
          <m:t>*</m:t>
        </m:r>
        <m:r>
          <m:rPr>
            <m:sty m:val="p"/>
          </m:rPr>
          <m:t>*</m:t>
        </m:r>
        <m:r>
          <m:rPr>
            <m:sty m:val="p"/>
          </m:rPr>
          <m:t>;</m:t>
        </m:r>
        <m:r>
          <m:t>a</m:t>
        </m:r>
        <m:r>
          <m:t>f</m:t>
        </m:r>
        <m:r>
          <m:t>t</m:t>
        </m:r>
        <m:r>
          <m:t>e</m:t>
        </m:r>
        <m:r>
          <m:t>r</m:t>
        </m:r>
        <m:r>
          <m:t>1</m:t>
        </m:r>
        <m:r>
          <m:t>Q</m:t>
        </m:r>
        <m:r>
          <m:t>a</m:t>
        </m:r>
        <m:r>
          <m:t>c</m:t>
        </m:r>
        <m:r>
          <m:t>t</m:t>
        </m:r>
        <m:r>
          <m:t>u</m:t>
        </m:r>
        <m:r>
          <m:t>a</m:t>
        </m:r>
        <m:r>
          <m:t>l</m:t>
        </m:r>
        <m:r>
          <m:t>E</m:t>
        </m:r>
        <m:r>
          <m:t>P</m:t>
        </m:r>
        <m:r>
          <m:t>S</m:t>
        </m:r>
        <m:r>
          <m:t>a</m:t>
        </m:r>
        <m:r>
          <m:t>n</m:t>
        </m:r>
        <m:r>
          <m:t>d</m:t>
        </m:r>
        <m:r>
          <m:t>t</m:t>
        </m:r>
        <m:r>
          <m:t>h</m:t>
        </m:r>
        <m:r>
          <m:t>e</m:t>
        </m:r>
        <m:r>
          <m:t>m</m:t>
        </m:r>
        <m:r>
          <m:t>i</m:t>
        </m:r>
        <m:r>
          <m:t>d</m:t>
        </m:r>
        <m:r>
          <m:t>p</m:t>
        </m:r>
        <m:r>
          <m:t>o</m:t>
        </m:r>
        <m:r>
          <m:t>i</m:t>
        </m:r>
        <m:r>
          <m:t>n</m:t>
        </m:r>
        <m:r>
          <m:t>t</m:t>
        </m:r>
        <m:r>
          <m:t>o</m:t>
        </m:r>
        <m:r>
          <m:t>f</m:t>
        </m:r>
        <m:r>
          <m:t>Q</m:t>
        </m:r>
        <m:r>
          <m:t>2</m:t>
        </m:r>
        <m:r>
          <m:t>g</m:t>
        </m:r>
        <m:r>
          <m:t>u</m:t>
        </m:r>
        <m:r>
          <m:t>i</m:t>
        </m:r>
        <m:r>
          <m:t>d</m:t>
        </m:r>
        <m:r>
          <m:t>a</m:t>
        </m:r>
        <m:r>
          <m:t>n</m:t>
        </m:r>
        <m:r>
          <m:t>c</m:t>
        </m:r>
        <m:r>
          <m:t>e</m:t>
        </m:r>
        <m:r>
          <m:rPr>
            <m:sty m:val="p"/>
          </m:rPr>
          <m:t>,</m:t>
        </m:r>
        <m:r>
          <m:t>t</m:t>
        </m:r>
        <m:r>
          <m:t>h</m:t>
        </m:r>
        <m:r>
          <m:t>e</m:t>
        </m:r>
        <m:r>
          <m:t>c</m:t>
        </m:r>
        <m:r>
          <m:t>o</m:t>
        </m:r>
        <m:r>
          <m:t>m</m:t>
        </m:r>
        <m:r>
          <m:t>p</m:t>
        </m:r>
        <m:r>
          <m:t>a</m:t>
        </m:r>
        <m:r>
          <m:t>n</m:t>
        </m:r>
        <m:r>
          <m:t>y</m:t>
        </m:r>
        <m:r>
          <m:t>w</m:t>
        </m:r>
        <m:r>
          <m:t>o</m:t>
        </m:r>
        <m:r>
          <m:t>u</m:t>
        </m:r>
        <m:r>
          <m:t>l</m:t>
        </m:r>
        <m:r>
          <m:t>d</m:t>
        </m:r>
        <m:r>
          <m:t>s</m:t>
        </m:r>
        <m:r>
          <m:t>t</m:t>
        </m:r>
        <m:r>
          <m:t>i</m:t>
        </m:r>
        <m:r>
          <m:t>l</m:t>
        </m:r>
        <m:r>
          <m:t>l</m:t>
        </m:r>
        <m:r>
          <m:t>n</m:t>
        </m:r>
        <m:r>
          <m:t>e</m:t>
        </m:r>
        <m:r>
          <m:t>e</m:t>
        </m:r>
        <m:r>
          <m:t>d</m:t>
        </m:r>
        <m:r>
          <m:t>a</m:t>
        </m:r>
        <m:r>
          <m:t>b</m:t>
        </m:r>
        <m:r>
          <m:t>o</m:t>
        </m:r>
        <m:r>
          <m:t>u</m:t>
        </m:r>
        <m:r>
          <m:t>t</m:t>
        </m:r>
        <m:r>
          <m:rPr>
            <m:sty m:val="p"/>
          </m:rPr>
          <m:t>*</m:t>
        </m:r>
        <m:r>
          <m:rPr>
            <m:sty m:val="p"/>
          </m:rPr>
          <m:t>*</m:t>
        </m:r>
      </m:oMath>
      <w:r>
        <w:t xml:space="preserve">8.00 of adjusted EPS in 2H26**, or roughly</w:t>
      </w:r>
      <w:r>
        <w:t xml:space="preserve"> </w:t>
      </w:r>
      <w:r>
        <w:rPr>
          <w:b/>
          <w:bCs/>
        </w:rPr>
        <w:t xml:space="preserve">54% of the full-year midpoint</w:t>
      </w:r>
      <w:r>
        <w:t xml:space="preserve">, reinforcing the importance of the anticipated second-half sales and margin acceleration.</w:t>
      </w:r>
    </w:p>
    <w:bookmarkEnd w:id="9"/>
    <w:bookmarkStart w:id="10" w:name="the-setup-demand-is-not-the-question"/>
    <w:p>
      <w:pPr>
        <w:pStyle w:val="Heading2"/>
      </w:pPr>
      <w:r>
        <w:t xml:space="preserve">The setup: demand is not the question</w:t>
      </w:r>
    </w:p>
    <w:p>
      <w:pPr>
        <w:pStyle w:val="FirstParagraph"/>
      </w:pPr>
      <w:r>
        <w:t xml:space="preserve">The most compelling feature of the TT story remains Americas Commercial HVAC, particularly applied systems serving data centers, health care, higher education, government, and other complex projects.</w:t>
      </w:r>
    </w:p>
    <w:p>
      <w:pPr>
        <w:pStyle w:val="BodyText"/>
      </w:pPr>
      <w:r>
        <w:t xml:space="preserve">In 1Q26:</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 result</w:t>
            </w:r>
          </w:p>
        </w:tc>
      </w:tr>
      <w:tr>
        <w:tc>
          <w:tcPr/>
          <w:p>
            <w:pPr>
              <w:pStyle w:val="Compact"/>
            </w:pPr>
            <w:r>
              <w:t xml:space="preserve">Organic bookings</w:t>
            </w:r>
          </w:p>
        </w:tc>
        <w:tc>
          <w:tcPr/>
          <w:p>
            <w:pPr>
              <w:pStyle w:val="Compact"/>
              <w:jc w:val="right"/>
            </w:pPr>
            <w:r>
              <w:rPr>
                <w:b/>
                <w:bCs/>
              </w:rPr>
              <w:t xml:space="preserve">+24%</w:t>
            </w:r>
          </w:p>
        </w:tc>
      </w:tr>
      <w:tr>
        <w:tc>
          <w:tcPr/>
          <w:p>
            <w:pPr>
              <w:pStyle w:val="Compact"/>
            </w:pPr>
            <w:r>
              <w:t xml:space="preserve">Organic revenue</w:t>
            </w:r>
          </w:p>
        </w:tc>
        <w:tc>
          <w:tcPr/>
          <w:p>
            <w:pPr>
              <w:pStyle w:val="Compact"/>
              <w:jc w:val="right"/>
            </w:pPr>
            <w:r>
              <w:rPr>
                <w:b/>
                <w:bCs/>
              </w:rPr>
              <w:t xml:space="preserve">+3%</w:t>
            </w:r>
          </w:p>
        </w:tc>
      </w:tr>
      <w:tr>
        <w:tc>
          <w:tcPr/>
          <w:p>
            <w:pPr>
              <w:pStyle w:val="Compact"/>
            </w:pPr>
            <w:r>
              <w:t xml:space="preserve">Adjusted EPS</w:t>
            </w:r>
          </w:p>
        </w:tc>
        <w:tc>
          <w:tcPr/>
          <w:p>
            <w:pPr>
              <w:pStyle w:val="Compact"/>
              <w:jc w:val="right"/>
            </w:pPr>
            <w:r>
              <w:rPr>
                <w:b/>
                <w:bCs/>
              </w:rPr>
              <w:t xml:space="preserve">$2.63, +7% YoY</w:t>
            </w:r>
          </w:p>
        </w:tc>
      </w:tr>
      <w:tr>
        <w:tc>
          <w:tcPr/>
          <w:p>
            <w:pPr>
              <w:pStyle w:val="Compact"/>
            </w:pPr>
            <w:r>
              <w:t xml:space="preserve">Enterprise backlog</w:t>
            </w:r>
          </w:p>
        </w:tc>
        <w:tc>
          <w:tcPr/>
          <w:p>
            <w:pPr>
              <w:pStyle w:val="Compact"/>
              <w:jc w:val="right"/>
            </w:pPr>
            <w:r>
              <w:rPr>
                <w:b/>
                <w:bCs/>
              </w:rPr>
              <w:t xml:space="preserve">$10.7B</w:t>
            </w:r>
          </w:p>
        </w:tc>
      </w:tr>
      <w:tr>
        <w:tc>
          <w:tcPr/>
          <w:p>
            <w:pPr>
              <w:pStyle w:val="Compact"/>
            </w:pPr>
            <w:r>
              <w:t xml:space="preserve">Americas Commercial HVAC bookings</w:t>
            </w:r>
          </w:p>
        </w:tc>
        <w:tc>
          <w:tcPr/>
          <w:p>
            <w:pPr>
              <w:pStyle w:val="Compact"/>
              <w:jc w:val="right"/>
            </w:pPr>
            <w:r>
              <w:rPr>
                <w:b/>
                <w:bCs/>
              </w:rPr>
              <w:t xml:space="preserve">~+40%</w:t>
            </w:r>
          </w:p>
        </w:tc>
      </w:tr>
      <w:tr>
        <w:tc>
          <w:tcPr/>
          <w:p>
            <w:pPr>
              <w:pStyle w:val="Compact"/>
            </w:pPr>
            <w:r>
              <w:t xml:space="preserve">Applied-equipment bookings</w:t>
            </w:r>
          </w:p>
        </w:tc>
        <w:tc>
          <w:tcPr/>
          <w:p>
            <w:pPr>
              <w:pStyle w:val="Compact"/>
              <w:jc w:val="right"/>
            </w:pPr>
            <w:r>
              <w:rPr>
                <w:b/>
                <w:bCs/>
              </w:rPr>
              <w:t xml:space="preserve">&gt;+160%</w:t>
            </w:r>
          </w:p>
        </w:tc>
      </w:tr>
      <w:tr>
        <w:tc>
          <w:tcPr/>
          <w:p>
            <w:pPr>
              <w:pStyle w:val="Compact"/>
            </w:pPr>
            <w:r>
              <w:t xml:space="preserve">Americas Commercial HVAC book-to-bill</w:t>
            </w:r>
          </w:p>
        </w:tc>
        <w:tc>
          <w:tcPr/>
          <w:p>
            <w:pPr>
              <w:pStyle w:val="Compact"/>
              <w:jc w:val="right"/>
            </w:pPr>
            <w:r>
              <w:rPr>
                <w:b/>
                <w:bCs/>
              </w:rPr>
              <w:t xml:space="preserve">~150%</w:t>
            </w:r>
          </w:p>
        </w:tc>
      </w:tr>
    </w:tbl>
    <w:p>
      <w:pPr>
        <w:pStyle w:val="BodyText"/>
      </w:pPr>
      <w:r>
        <w:t xml:space="preserve">Management characterized the resulting backlog visibility as supportive of approximately</w:t>
      </w:r>
      <w:r>
        <w:t xml:space="preserve"> </w:t>
      </w:r>
      <w:r>
        <w:rPr>
          <w:b/>
          <w:bCs/>
        </w:rPr>
        <w:t xml:space="preserve">10% Commercial HVAC revenue growth in 2Q</w:t>
      </w:r>
      <w:r>
        <w:t xml:space="preserve">, despite a difficult mid-teens prior-year comparison, followed by</w:t>
      </w:r>
      <w:r>
        <w:t xml:space="preserve"> </w:t>
      </w:r>
      <w:r>
        <w:rPr>
          <w:b/>
          <w:bCs/>
        </w:rPr>
        <w:t xml:space="preserve">low-teens growth in the second half</w:t>
      </w:r>
      <w:r>
        <w:t xml:space="preserve">.</w:t>
      </w:r>
    </w:p>
    <w:p>
      <w:pPr>
        <w:pStyle w:val="BodyText"/>
      </w:pPr>
      <w:r>
        <w:t xml:space="preserve">The central issue for investors is therefore shifting from order strength to</w:t>
      </w:r>
      <w:r>
        <w:t xml:space="preserve"> </w:t>
      </w:r>
      <w:r>
        <w:rPr>
          <w:b/>
          <w:bCs/>
        </w:rPr>
        <w:t xml:space="preserve">conversion</w:t>
      </w:r>
      <w:r>
        <w:t xml:space="preserve">: Are projects shipping on schedule, are customers maintaining delivery windows, and can TT capture the operating leverage that should accompany higher volumes?</w:t>
      </w:r>
    </w:p>
    <w:bookmarkEnd w:id="10"/>
    <w:bookmarkStart w:id="17" w:name="what-to-watch-in-the-release"/>
    <w:p>
      <w:pPr>
        <w:pStyle w:val="Heading2"/>
      </w:pPr>
      <w:r>
        <w:t xml:space="preserve">What to watch in the release</w:t>
      </w:r>
    </w:p>
    <w:bookmarkStart w:id="11" w:name="X0fc6eca43fb005368faebfc52437729a84eee84"/>
    <w:p>
      <w:pPr>
        <w:pStyle w:val="Heading3"/>
      </w:pPr>
      <w:r>
        <w:t xml:space="preserve">1. Americas Commercial HVAC: revenue conversion versus bookings</w:t>
      </w:r>
    </w:p>
    <w:p>
      <w:pPr>
        <w:pStyle w:val="FirstParagraph"/>
      </w:pPr>
      <w:r>
        <w:t xml:space="preserve">A strong quarter in bookings would be constructive, but it is not the most important KPI given the already elevated backlog. Investors should prioritize:</w:t>
      </w:r>
    </w:p>
    <w:p>
      <w:pPr>
        <w:pStyle w:val="Compact"/>
        <w:numPr>
          <w:ilvl w:val="0"/>
          <w:numId w:val="1002"/>
        </w:numPr>
      </w:pPr>
      <w:r>
        <w:t xml:space="preserve">Commercial HVAC revenue growth relative to the roughly</w:t>
      </w:r>
      <w:r>
        <w:t xml:space="preserve"> </w:t>
      </w:r>
      <w:r>
        <w:rPr>
          <w:b/>
          <w:bCs/>
        </w:rPr>
        <w:t xml:space="preserve">10%</w:t>
      </w:r>
      <w:r>
        <w:t xml:space="preserve"> </w:t>
      </w:r>
      <w:r>
        <w:t xml:space="preserve">framework.</w:t>
      </w:r>
    </w:p>
    <w:p>
      <w:pPr>
        <w:pStyle w:val="Compact"/>
        <w:numPr>
          <w:ilvl w:val="0"/>
          <w:numId w:val="1002"/>
        </w:numPr>
      </w:pPr>
      <w:r>
        <w:t xml:space="preserve">Applied versus unitary performance.</w:t>
      </w:r>
    </w:p>
    <w:p>
      <w:pPr>
        <w:pStyle w:val="Compact"/>
        <w:numPr>
          <w:ilvl w:val="0"/>
          <w:numId w:val="1002"/>
        </w:numPr>
      </w:pPr>
      <w:r>
        <w:t xml:space="preserve">The pace of backlog growth or consumption.</w:t>
      </w:r>
    </w:p>
    <w:p>
      <w:pPr>
        <w:pStyle w:val="Compact"/>
        <w:numPr>
          <w:ilvl w:val="0"/>
          <w:numId w:val="1002"/>
        </w:numPr>
      </w:pPr>
      <w:r>
        <w:t xml:space="preserve">Timing of large data-center and other complex-project deliveries.</w:t>
      </w:r>
    </w:p>
    <w:p>
      <w:pPr>
        <w:pStyle w:val="Compact"/>
        <w:numPr>
          <w:ilvl w:val="0"/>
          <w:numId w:val="1002"/>
        </w:numPr>
      </w:pPr>
      <w:r>
        <w:t xml:space="preserve">Evidence that demand remains broad-based beyond data centers.</w:t>
      </w:r>
    </w:p>
    <w:p>
      <w:pPr>
        <w:pStyle w:val="FirstParagraph"/>
      </w:pPr>
      <w:r>
        <w:t xml:space="preserve">The bull case is not simply “AI/data-center demand.” It is that TT is gaining share in a broad set of complex applied opportunities through its direct sales force, systems expertise, domestic manufacturing footprint, and expanding capacity.</w:t>
      </w:r>
    </w:p>
    <w:bookmarkEnd w:id="11"/>
    <w:bookmarkStart w:id="12" w:name="X0a5a0554033bcddd78f225ec8d90539ec0a4a1a"/>
    <w:p>
      <w:pPr>
        <w:pStyle w:val="Heading3"/>
      </w:pPr>
      <w:r>
        <w:t xml:space="preserve">2. Stellar Energy contribution and data-center monetization</w:t>
      </w:r>
    </w:p>
    <w:p>
      <w:pPr>
        <w:pStyle w:val="FirstParagraph"/>
      </w:pPr>
      <w:r>
        <w:t xml:space="preserve">Stellar is strategically important because it expands TT’s modular cooling capability for data centers. Management previously indicated:</w:t>
      </w:r>
    </w:p>
    <w:p>
      <w:pPr>
        <w:pStyle w:val="Compact"/>
        <w:numPr>
          <w:ilvl w:val="0"/>
          <w:numId w:val="1003"/>
        </w:numPr>
      </w:pPr>
      <w:r>
        <w:t xml:space="preserve">Approximately</w:t>
      </w:r>
      <w:r>
        <w:t xml:space="preserve"> </w:t>
      </w:r>
      <w:r>
        <w:rPr>
          <w:b/>
          <w:bCs/>
        </w:rPr>
        <w:t xml:space="preserve">$1 billion</w:t>
      </w:r>
      <w:r>
        <w:t xml:space="preserve"> </w:t>
      </w:r>
      <w:r>
        <w:t xml:space="preserve">of acquired backlog.</w:t>
      </w:r>
    </w:p>
    <w:p>
      <w:pPr>
        <w:pStyle w:val="Compact"/>
        <w:numPr>
          <w:ilvl w:val="0"/>
          <w:numId w:val="1003"/>
        </w:numPr>
      </w:pPr>
      <w:r>
        <w:t xml:space="preserve">About</w:t>
      </w:r>
      <w:r>
        <w:t xml:space="preserve"> </w:t>
      </w:r>
      <w:r>
        <w:rPr>
          <w:b/>
          <w:bCs/>
        </w:rPr>
        <w:t xml:space="preserve">$500 million</w:t>
      </w:r>
      <w:r>
        <w:t xml:space="preserve"> </w:t>
      </w:r>
      <w:r>
        <w:t xml:space="preserve">of 2026 revenue expectation.</w:t>
      </w:r>
    </w:p>
    <w:p>
      <w:pPr>
        <w:pStyle w:val="Compact"/>
        <w:numPr>
          <w:ilvl w:val="0"/>
          <w:numId w:val="1003"/>
        </w:numPr>
      </w:pPr>
      <w:r>
        <w:t xml:space="preserve">Roughly</w:t>
      </w:r>
      <w:r>
        <w:t xml:space="preserve"> </w:t>
      </w:r>
      <w:r>
        <w:rPr>
          <w:b/>
          <w:bCs/>
        </w:rPr>
        <w:t xml:space="preserve">$50 million</w:t>
      </w:r>
      <w:r>
        <w:t xml:space="preserve"> </w:t>
      </w:r>
      <w:r>
        <w:t xml:space="preserve">of incremental 2026 revenue captured in the April guidance update.</w:t>
      </w:r>
    </w:p>
    <w:p>
      <w:pPr>
        <w:pStyle w:val="Compact"/>
        <w:numPr>
          <w:ilvl w:val="0"/>
          <w:numId w:val="1003"/>
        </w:numPr>
      </w:pPr>
      <w:r>
        <w:t xml:space="preserve">A long-term ambition to build Stellar into a</w:t>
      </w:r>
      <w:r>
        <w:t xml:space="preserve"> </w:t>
      </w:r>
      <w:r>
        <w:rPr>
          <w:b/>
          <w:bCs/>
        </w:rPr>
        <w:t xml:space="preserve">$1 billion-plus revenue</w:t>
      </w:r>
      <w:r>
        <w:t xml:space="preserve"> </w:t>
      </w:r>
      <w:r>
        <w:t xml:space="preserve">business over two to three years.</w:t>
      </w:r>
    </w:p>
    <w:p>
      <w:pPr>
        <w:pStyle w:val="FirstParagraph"/>
      </w:pPr>
      <w:r>
        <w:t xml:space="preserve">Q2 should offer the first meaningful opportunity to assess whether integration, capacity expansion in Florida and Texas, customer demand, and revenue timing are tracking management’s expectations.</w:t>
      </w:r>
    </w:p>
    <w:p>
      <w:pPr>
        <w:pStyle w:val="BodyText"/>
      </w:pPr>
      <w:r>
        <w:t xml:space="preserve">Watch for commentary on:</w:t>
      </w:r>
    </w:p>
    <w:p>
      <w:pPr>
        <w:pStyle w:val="Compact"/>
        <w:numPr>
          <w:ilvl w:val="0"/>
          <w:numId w:val="1004"/>
        </w:numPr>
      </w:pPr>
      <w:r>
        <w:t xml:space="preserve">Actual versus expected Stellar revenue contribution.</w:t>
      </w:r>
    </w:p>
    <w:p>
      <w:pPr>
        <w:pStyle w:val="Compact"/>
        <w:numPr>
          <w:ilvl w:val="0"/>
          <w:numId w:val="1004"/>
        </w:numPr>
      </w:pPr>
      <w:r>
        <w:t xml:space="preserve">Integration costs and near-term margin dilution.</w:t>
      </w:r>
    </w:p>
    <w:p>
      <w:pPr>
        <w:pStyle w:val="Compact"/>
        <w:numPr>
          <w:ilvl w:val="0"/>
          <w:numId w:val="1004"/>
        </w:numPr>
      </w:pPr>
      <w:r>
        <w:t xml:space="preserve">Data-center pipeline conversion.</w:t>
      </w:r>
    </w:p>
    <w:p>
      <w:pPr>
        <w:pStyle w:val="Compact"/>
        <w:numPr>
          <w:ilvl w:val="0"/>
          <w:numId w:val="1004"/>
        </w:numPr>
      </w:pPr>
      <w:r>
        <w:t xml:space="preserve">Capacity additions and capex requirements.</w:t>
      </w:r>
    </w:p>
    <w:p>
      <w:pPr>
        <w:pStyle w:val="Compact"/>
        <w:numPr>
          <w:ilvl w:val="0"/>
          <w:numId w:val="1004"/>
        </w:numPr>
      </w:pPr>
      <w:r>
        <w:t xml:space="preserve">The opportunity to attach services to complex cooling installations over time.</w:t>
      </w:r>
    </w:p>
    <w:bookmarkEnd w:id="12"/>
    <w:bookmarkStart w:id="13" w:name="X6e0f08a01aee5620294fa4b9c7346e4e161eeef"/>
    <w:p>
      <w:pPr>
        <w:pStyle w:val="Heading3"/>
      </w:pPr>
      <w:r>
        <w:t xml:space="preserve">3. Margin progression and price-cost execution</w:t>
      </w:r>
    </w:p>
    <w:p>
      <w:pPr>
        <w:pStyle w:val="FirstParagraph"/>
      </w:pPr>
      <w:r>
        <w:t xml:space="preserve">TT delivered</w:t>
      </w:r>
      <w:r>
        <w:t xml:space="preserve"> </w:t>
      </w:r>
      <w:r>
        <w:rPr>
          <w:b/>
          <w:bCs/>
        </w:rPr>
        <w:t xml:space="preserve">16.0% adjusted operating margin</w:t>
      </w:r>
      <w:r>
        <w:t xml:space="preserve"> </w:t>
      </w:r>
      <w:r>
        <w:t xml:space="preserve">in 1Q, down 20 basis points year over year, as acquisitions, investments, and regional pressures offset favorable Americas execution. Management nevertheless expects operating leverage to increase materially through the year.</w:t>
      </w:r>
    </w:p>
    <w:p>
      <w:pPr>
        <w:pStyle w:val="BodyText"/>
      </w:pPr>
      <w:r>
        <w:t xml:space="preserve">For 2Q, the critical test is whether the company achieves the expected</w:t>
      </w:r>
      <w:r>
        <w:t xml:space="preserve"> </w:t>
      </w:r>
      <w:r>
        <w:rPr>
          <w:b/>
          <w:bCs/>
        </w:rPr>
        <w:t xml:space="preserve">mid-20% organic operating leverage</w:t>
      </w:r>
      <w:r>
        <w:t xml:space="preserve"> </w:t>
      </w:r>
      <w:r>
        <w:t xml:space="preserve">while continuing to invest in capacity, service infrastructure, and innovation.</w:t>
      </w:r>
    </w:p>
    <w:p>
      <w:pPr>
        <w:pStyle w:val="BodyText"/>
      </w:pPr>
      <w:r>
        <w:t xml:space="preserve">Key swing factors include:</w:t>
      </w:r>
    </w:p>
    <w:p>
      <w:pPr>
        <w:pStyle w:val="Compact"/>
        <w:numPr>
          <w:ilvl w:val="0"/>
          <w:numId w:val="1005"/>
        </w:numPr>
      </w:pPr>
      <w:r>
        <w:t xml:space="preserve">Productivity in applied HVAC manufacturing.</w:t>
      </w:r>
    </w:p>
    <w:p>
      <w:pPr>
        <w:pStyle w:val="Compact"/>
        <w:numPr>
          <w:ilvl w:val="0"/>
          <w:numId w:val="1005"/>
        </w:numPr>
      </w:pPr>
      <w:r>
        <w:t xml:space="preserve">Service mix, which is margin accretive and represents roughly one-third of enterprise revenue.</w:t>
      </w:r>
    </w:p>
    <w:p>
      <w:pPr>
        <w:pStyle w:val="Compact"/>
        <w:numPr>
          <w:ilvl w:val="0"/>
          <w:numId w:val="1005"/>
        </w:numPr>
      </w:pPr>
      <w:r>
        <w:t xml:space="preserve">Inflation and tariff mitigation.</w:t>
      </w:r>
    </w:p>
    <w:p>
      <w:pPr>
        <w:pStyle w:val="Compact"/>
        <w:numPr>
          <w:ilvl w:val="0"/>
          <w:numId w:val="1005"/>
        </w:numPr>
      </w:pPr>
      <w:r>
        <w:t xml:space="preserve">Pricing realization—management raised its enterprise price expectation to approximately</w:t>
      </w:r>
      <w:r>
        <w:t xml:space="preserve"> </w:t>
      </w:r>
      <w:r>
        <w:rPr>
          <w:b/>
          <w:bCs/>
        </w:rPr>
        <w:t xml:space="preserve">2 points</w:t>
      </w:r>
      <w:r>
        <w:t xml:space="preserve"> </w:t>
      </w:r>
      <w:r>
        <w:t xml:space="preserve">for 2026.</w:t>
      </w:r>
    </w:p>
    <w:p>
      <w:pPr>
        <w:pStyle w:val="Compact"/>
        <w:numPr>
          <w:ilvl w:val="0"/>
          <w:numId w:val="1005"/>
        </w:numPr>
      </w:pPr>
      <w:r>
        <w:t xml:space="preserve">The degree of margin drag from Stellar, EMEA investments, and Middle East disruption.</w:t>
      </w:r>
    </w:p>
    <w:p>
      <w:pPr>
        <w:pStyle w:val="FirstParagraph"/>
      </w:pPr>
      <w:r>
        <w:t xml:space="preserve">A solid margin outcome would strengthen the case that 2H earnings acceleration is achievable. A miss would likely revive questions about the cost of growth, acquisition integration, and the timing of price recovery.</w:t>
      </w:r>
    </w:p>
    <w:bookmarkEnd w:id="13"/>
    <w:bookmarkStart w:id="14" w:name="Xf7df092b6e7271c43eac4ad381b547c4082c51c"/>
    <w:p>
      <w:pPr>
        <w:pStyle w:val="Heading3"/>
      </w:pPr>
      <w:r>
        <w:t xml:space="preserve">4. Residential: confirmation of stabilization</w:t>
      </w:r>
    </w:p>
    <w:p>
      <w:pPr>
        <w:pStyle w:val="FirstParagraph"/>
      </w:pPr>
      <w:r>
        <w:t xml:space="preserve">Residential HVAC was better than management expected in 1Q, with bookings up low single digits and revenues down mid-single digits. TT expects:</w:t>
      </w:r>
    </w:p>
    <w:p>
      <w:pPr>
        <w:pStyle w:val="Compact"/>
        <w:numPr>
          <w:ilvl w:val="0"/>
          <w:numId w:val="1006"/>
        </w:numPr>
      </w:pPr>
      <w:r>
        <w:rPr>
          <w:b/>
          <w:bCs/>
        </w:rPr>
        <w:t xml:space="preserve">Flattish residential revenue in 2Q</w:t>
      </w:r>
    </w:p>
    <w:p>
      <w:pPr>
        <w:pStyle w:val="Compact"/>
        <w:numPr>
          <w:ilvl w:val="0"/>
          <w:numId w:val="1006"/>
        </w:numPr>
      </w:pPr>
      <w:r>
        <w:t xml:space="preserve">A return to growth in the second half</w:t>
      </w:r>
    </w:p>
    <w:p>
      <w:pPr>
        <w:pStyle w:val="Compact"/>
        <w:numPr>
          <w:ilvl w:val="0"/>
          <w:numId w:val="1006"/>
        </w:numPr>
      </w:pPr>
      <w:r>
        <w:rPr>
          <w:b/>
          <w:bCs/>
        </w:rPr>
        <w:t xml:space="preserve">Flattish revenue for full-year 2026</w:t>
      </w:r>
    </w:p>
    <w:p>
      <w:pPr>
        <w:pStyle w:val="FirstParagraph"/>
      </w:pPr>
      <w:r>
        <w:t xml:space="preserve">The residential business is not the main earnings driver, but it matters because the second-half plan assumes easier comparisons and improved market conditions. Investors should listen for channel-inventory commentary, selling-season trends, replacement demand, and whether management still sees a credible path to second-half growth.</w:t>
      </w:r>
    </w:p>
    <w:bookmarkEnd w:id="14"/>
    <w:bookmarkStart w:id="15" w:name="X67f40f46d243d60156c978470e70c329b6ed423"/>
    <w:p>
      <w:pPr>
        <w:pStyle w:val="Heading3"/>
      </w:pPr>
      <w:r>
        <w:t xml:space="preserve">5. Transport refrigeration: a known drag, but watch the trajectory</w:t>
      </w:r>
    </w:p>
    <w:p>
      <w:pPr>
        <w:pStyle w:val="FirstParagraph"/>
      </w:pPr>
      <w:r>
        <w:t xml:space="preserve">Management expects Americas transport refrigeration revenue to be down roughly</w:t>
      </w:r>
      <w:r>
        <w:t xml:space="preserve"> </w:t>
      </w:r>
      <w:r>
        <w:rPr>
          <w:b/>
          <w:bCs/>
        </w:rPr>
        <w:t xml:space="preserve">mid-teens in 2Q</w:t>
      </w:r>
      <w:r>
        <w:t xml:space="preserve">, reflecting shipment timing and still-soft end markets. Full-year market expectations remain for a mid-single-digit decline, with a recovery anticipated late in 2026 and into 2027.</w:t>
      </w:r>
    </w:p>
    <w:p>
      <w:pPr>
        <w:pStyle w:val="BodyText"/>
      </w:pPr>
      <w:r>
        <w:t xml:space="preserve">The most constructive outcome would be a weak but controlled Q2 paired with:</w:t>
      </w:r>
    </w:p>
    <w:p>
      <w:pPr>
        <w:pStyle w:val="Compact"/>
        <w:numPr>
          <w:ilvl w:val="0"/>
          <w:numId w:val="1007"/>
        </w:numPr>
      </w:pPr>
      <w:r>
        <w:t xml:space="preserve">Continued market-share outperformance.</w:t>
      </w:r>
    </w:p>
    <w:p>
      <w:pPr>
        <w:pStyle w:val="Compact"/>
        <w:numPr>
          <w:ilvl w:val="0"/>
          <w:numId w:val="1007"/>
        </w:numPr>
      </w:pPr>
      <w:r>
        <w:t xml:space="preserve">Stable orders or improving order trends.</w:t>
      </w:r>
    </w:p>
    <w:p>
      <w:pPr>
        <w:pStyle w:val="Compact"/>
        <w:numPr>
          <w:ilvl w:val="0"/>
          <w:numId w:val="1007"/>
        </w:numPr>
      </w:pPr>
      <w:r>
        <w:t xml:space="preserve">Confirmation that 2Q represents the trough.</w:t>
      </w:r>
    </w:p>
    <w:p>
      <w:pPr>
        <w:pStyle w:val="Compact"/>
        <w:numPr>
          <w:ilvl w:val="0"/>
          <w:numId w:val="1007"/>
        </w:numPr>
      </w:pPr>
      <w:r>
        <w:t xml:space="preserve">No deterioration in the expected late-2026 recovery.</w:t>
      </w:r>
    </w:p>
    <w:bookmarkEnd w:id="15"/>
    <w:bookmarkStart w:id="16" w:name="X1e3f550bddf3d38a48da005996a3b6968699b2e"/>
    <w:p>
      <w:pPr>
        <w:pStyle w:val="Heading3"/>
      </w:pPr>
      <w:r>
        <w:t xml:space="preserve">6. EMEA and Middle East disruption</w:t>
      </w:r>
    </w:p>
    <w:p>
      <w:pPr>
        <w:pStyle w:val="FirstParagraph"/>
      </w:pPr>
      <w:r>
        <w:t xml:space="preserve">TT forecast about</w:t>
      </w:r>
      <w:r>
        <w:t xml:space="preserve"> </w:t>
      </w:r>
      <m:oMath>
        <m:r>
          <m:t>50</m:t>
        </m:r>
        <m:r>
          <m:t>m</m:t>
        </m:r>
        <m:r>
          <m:t>i</m:t>
        </m:r>
        <m:r>
          <m:t>l</m:t>
        </m:r>
        <m:r>
          <m:t>l</m:t>
        </m:r>
        <m:r>
          <m:t>i</m:t>
        </m:r>
        <m:r>
          <m:t>o</m:t>
        </m:r>
        <m:r>
          <m:t>n</m:t>
        </m:r>
        <m:r>
          <m:t>o</m:t>
        </m:r>
        <m:r>
          <m:t>f</m:t>
        </m:r>
        <m:r>
          <m:t>2</m:t>
        </m:r>
        <m:r>
          <m:t>Q</m:t>
        </m:r>
        <m:r>
          <m:t>r</m:t>
        </m:r>
        <m:r>
          <m:t>e</m:t>
        </m:r>
        <m:r>
          <m:t>v</m:t>
        </m:r>
        <m:r>
          <m:t>e</m:t>
        </m:r>
        <m:r>
          <m:t>n</m:t>
        </m:r>
        <m:r>
          <m:t>u</m:t>
        </m:r>
        <m:r>
          <m:t>e</m:t>
        </m:r>
        <m:r>
          <m:t>h</m:t>
        </m:r>
        <m:r>
          <m:t>e</m:t>
        </m:r>
        <m:r>
          <m:t>a</m:t>
        </m:r>
        <m:r>
          <m:t>d</m:t>
        </m:r>
        <m:r>
          <m:t>w</m:t>
        </m:r>
        <m:r>
          <m:t>i</m:t>
        </m:r>
        <m:r>
          <m:t>n</m:t>
        </m:r>
        <m:r>
          <m:t>d</m:t>
        </m:r>
        <m:r>
          <m:t>s</m:t>
        </m:r>
        <m:r>
          <m:rPr>
            <m:sty m:val="p"/>
          </m:rPr>
          <m:t>*</m:t>
        </m:r>
        <m:r>
          <m:rPr>
            <m:sty m:val="p"/>
          </m:rPr>
          <m:t>*</m:t>
        </m:r>
        <m:r>
          <m:t>i</m:t>
        </m:r>
        <m:r>
          <m:t>n</m:t>
        </m:r>
        <m:r>
          <m:t>t</m:t>
        </m:r>
        <m:r>
          <m:t>h</m:t>
        </m:r>
        <m:r>
          <m:t>e</m:t>
        </m:r>
        <m:r>
          <m:t>M</m:t>
        </m:r>
        <m:r>
          <m:t>i</m:t>
        </m:r>
        <m:r>
          <m:t>d</m:t>
        </m:r>
        <m:r>
          <m:t>d</m:t>
        </m:r>
        <m:r>
          <m:t>l</m:t>
        </m:r>
        <m:r>
          <m:t>e</m:t>
        </m:r>
        <m:r>
          <m:t>E</m:t>
        </m:r>
        <m:r>
          <m:t>a</m:t>
        </m:r>
        <m:r>
          <m:t>s</m:t>
        </m:r>
        <m:r>
          <m:t>t</m:t>
        </m:r>
        <m:r>
          <m:rPr>
            <m:sty m:val="p"/>
          </m:rPr>
          <m:t>,</m:t>
        </m:r>
        <m:r>
          <m:t>r</m:t>
        </m:r>
        <m:r>
          <m:t>e</m:t>
        </m:r>
        <m:r>
          <m:t>p</m:t>
        </m:r>
        <m:r>
          <m:t>r</m:t>
        </m:r>
        <m:r>
          <m:t>e</m:t>
        </m:r>
        <m:r>
          <m:t>s</m:t>
        </m:r>
        <m:r>
          <m:t>e</m:t>
        </m:r>
        <m:r>
          <m:t>n</m:t>
        </m:r>
        <m:r>
          <m:t>t</m:t>
        </m:r>
        <m:r>
          <m:t>i</m:t>
        </m:r>
        <m:r>
          <m:t>n</m:t>
        </m:r>
        <m:r>
          <m:t>g</m:t>
        </m:r>
        <m:r>
          <m:t>a</m:t>
        </m:r>
        <m:r>
          <m:t>n</m:t>
        </m:r>
        <m:r>
          <m:t>e</m:t>
        </m:r>
        <m:r>
          <m:t>s</m:t>
        </m:r>
        <m:r>
          <m:t>t</m:t>
        </m:r>
        <m:r>
          <m:t>i</m:t>
        </m:r>
        <m:r>
          <m:t>m</m:t>
        </m:r>
        <m:r>
          <m:t>a</m:t>
        </m:r>
        <m:r>
          <m:t>t</m:t>
        </m:r>
        <m:r>
          <m:t>e</m:t>
        </m:r>
        <m:r>
          <m:t>d</m:t>
        </m:r>
        <m:r>
          <m:rPr>
            <m:sty m:val="p"/>
          </m:rPr>
          <m:t>*</m:t>
        </m:r>
        <m:r>
          <m:rPr>
            <m:sty m:val="p"/>
          </m:rPr>
          <m:t>*</m:t>
        </m:r>
      </m:oMath>
      <w:r>
        <w:rPr>
          <w:b/>
          <w:bCs/>
        </w:rPr>
        <w:t xml:space="preserve">0.05 EPS impact</w:t>
      </w:r>
      <w:r>
        <w:t xml:space="preserve">. This is a direct risk to the quarter and an important swing factor for the balance of the year.</w:t>
      </w:r>
    </w:p>
    <w:p>
      <w:pPr>
        <w:pStyle w:val="BodyText"/>
      </w:pPr>
      <w:r>
        <w:t xml:space="preserve">Investors should focus on whether the disruption remains contained to the guided impact, whether project activity has been deferred rather than lost, and whether management changes its regional outlook. EMEA margin performance is also important after 1Q adjusted EBITDA margin declined</w:t>
      </w:r>
      <w:r>
        <w:t xml:space="preserve"> </w:t>
      </w:r>
      <w:r>
        <w:rPr>
          <w:b/>
          <w:bCs/>
        </w:rPr>
        <w:t xml:space="preserve">260 basis points</w:t>
      </w:r>
      <w:r>
        <w:t xml:space="preserve"> </w:t>
      </w:r>
      <w:r>
        <w:t xml:space="preserve">amid acquisition/integration costs and lower-than-expected Middle East revenue.</w:t>
      </w:r>
    </w:p>
    <w:bookmarkEnd w:id="16"/>
    <w:bookmarkEnd w:id="17"/>
    <w:bookmarkStart w:id="18" w:name="Xfc08e3a325b694fdbb8be526c147af96bfc8e44"/>
    <w:p>
      <w:pPr>
        <w:pStyle w:val="Heading2"/>
      </w:pPr>
      <w:r>
        <w:t xml:space="preserve">Guidance: hold versus raise is the real call</w:t>
      </w:r>
    </w:p>
    <w:p>
      <w:pPr>
        <w:pStyle w:val="FirstParagraph"/>
      </w:pPr>
      <w:r>
        <w:t xml:space="preserve">TT raised 2026 guidance after 1Q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framework</w:t>
            </w:r>
          </w:p>
        </w:tc>
      </w:tr>
      <w:tr>
        <w:tc>
          <w:tcPr/>
          <w:p>
            <w:pPr>
              <w:pStyle w:val="Compact"/>
            </w:pPr>
            <w:r>
              <w:t xml:space="preserve">Organic revenue growth</w:t>
            </w:r>
          </w:p>
        </w:tc>
        <w:tc>
          <w:tcPr/>
          <w:p>
            <w:pPr>
              <w:pStyle w:val="Compact"/>
              <w:jc w:val="right"/>
            </w:pPr>
            <w:r>
              <w:rPr>
                <w:b/>
                <w:bCs/>
              </w:rPr>
              <w:t xml:space="preserve">~7%</w:t>
            </w:r>
          </w:p>
        </w:tc>
      </w:tr>
      <w:tr>
        <w:tc>
          <w:tcPr/>
          <w:p>
            <w:pPr>
              <w:pStyle w:val="Compact"/>
            </w:pPr>
            <w:r>
              <w:t xml:space="preserve">Reported revenue growth</w:t>
            </w:r>
          </w:p>
        </w:tc>
        <w:tc>
          <w:tcPr/>
          <w:p>
            <w:pPr>
              <w:pStyle w:val="Compact"/>
              <w:jc w:val="right"/>
            </w:pPr>
            <w:r>
              <w:rPr>
                <w:b/>
                <w:bCs/>
              </w:rPr>
              <w:t xml:space="preserve">~9.5%</w:t>
            </w:r>
          </w:p>
        </w:tc>
      </w:tr>
      <w:tr>
        <w:tc>
          <w:tcPr/>
          <w:p>
            <w:pPr>
              <w:pStyle w:val="Compact"/>
            </w:pPr>
            <w:r>
              <w:t xml:space="preserve">Adjusted EPS</w:t>
            </w:r>
          </w:p>
        </w:tc>
        <w:tc>
          <w:tcPr/>
          <w:p>
            <w:pPr>
              <w:pStyle w:val="Compact"/>
              <w:jc w:val="right"/>
            </w:pPr>
            <m:oMath>
              <m:r>
                <m:t>14.75</m:t>
              </m:r>
              <m:r>
                <m:rPr>
                  <m:sty m:val="p"/>
                </m:rPr>
                <m:t>–</m:t>
              </m:r>
            </m:oMath>
            <w:r>
              <w:rPr>
                <w:b/>
                <w:bCs/>
              </w:rPr>
              <w:t xml:space="preserve">14.95</w:t>
            </w:r>
          </w:p>
        </w:tc>
      </w:tr>
      <w:tr>
        <w:tc>
          <w:tcPr/>
          <w:p>
            <w:pPr>
              <w:pStyle w:val="Compact"/>
            </w:pPr>
            <w:r>
              <w:t xml:space="preserve">Adjusted EPS growth</w:t>
            </w:r>
          </w:p>
        </w:tc>
        <w:tc>
          <w:tcPr/>
          <w:p>
            <w:pPr>
              <w:pStyle w:val="Compact"/>
              <w:jc w:val="right"/>
            </w:pPr>
            <w:r>
              <w:rPr>
                <w:b/>
                <w:bCs/>
              </w:rPr>
              <w:t xml:space="preserve">~13%–15%</w:t>
            </w:r>
          </w:p>
        </w:tc>
      </w:tr>
      <w:tr>
        <w:tc>
          <w:tcPr/>
          <w:p>
            <w:pPr>
              <w:pStyle w:val="Compact"/>
            </w:pPr>
            <w:r>
              <w:t xml:space="preserve">Free-cash-flow conversion</w:t>
            </w:r>
          </w:p>
        </w:tc>
        <w:tc>
          <w:tcPr/>
          <w:p>
            <w:pPr>
              <w:pStyle w:val="Compact"/>
              <w:jc w:val="right"/>
            </w:pPr>
            <w:r>
              <w:rPr>
                <w:b/>
                <w:bCs/>
              </w:rPr>
              <w:t xml:space="preserve">≥100%</w:t>
            </w:r>
          </w:p>
        </w:tc>
      </w:tr>
    </w:tbl>
    <w:p>
      <w:pPr>
        <w:pStyle w:val="BodyText"/>
      </w:pPr>
      <w:r>
        <w:t xml:space="preserve">Given that management raised guidance only one quarter ago and has identified specific 2Q regional and transport drags,</w:t>
      </w:r>
      <w:r>
        <w:t xml:space="preserve"> </w:t>
      </w:r>
      <w:r>
        <w:rPr>
          <w:b/>
          <w:bCs/>
        </w:rPr>
        <w:t xml:space="preserve">a reiteration accompanied by strong confidence in second-half conversion would likely be acceptable</w:t>
      </w:r>
      <w:r>
        <w:t xml:space="preserve">. The more important risk would be any indication that commercial backlog timing is slipping, residential recovery is weaker than anticipated, or inflation/tariff recovery is taking longer than planned.</w:t>
      </w:r>
    </w:p>
    <w:bookmarkEnd w:id="18"/>
    <w:bookmarkStart w:id="19" w:name="stock-context"/>
    <w:p>
      <w:pPr>
        <w:pStyle w:val="Heading2"/>
      </w:pPr>
      <w:r>
        <w:t xml:space="preserve">Stock context</w:t>
      </w:r>
    </w:p>
    <w:p>
      <w:pPr>
        <w:pStyle w:val="FirstParagraph"/>
      </w:pPr>
      <w:r>
        <w:t xml:space="preserve">TT closed at approximately</w:t>
      </w:r>
      <w:r>
        <w:t xml:space="preserve"> </w:t>
      </w:r>
      <w:r>
        <w:rPr>
          <w:b/>
          <w:bCs/>
        </w:rPr>
        <w:t xml:space="preserve">$454.43 on July 29</w:t>
      </w:r>
      <w:r>
        <w:t xml:space="preserve">, down about</w:t>
      </w:r>
      <w:r>
        <w:t xml:space="preserve"> </w:t>
      </w:r>
      <w:r>
        <w:rPr>
          <w:b/>
          <w:bCs/>
        </w:rPr>
        <w:t xml:space="preserve">5.2%</w:t>
      </w:r>
      <w:r>
        <w:t xml:space="preserve"> </w:t>
      </w:r>
      <w:r>
        <w:t xml:space="preserve">from its pre-1Q earnings close on April 29 and down about</w:t>
      </w:r>
      <w:r>
        <w:t xml:space="preserve"> </w:t>
      </w:r>
      <w:r>
        <w:rPr>
          <w:b/>
          <w:bCs/>
        </w:rPr>
        <w:t xml:space="preserve">3.3%</w:t>
      </w:r>
      <w:r>
        <w:t xml:space="preserve"> </w:t>
      </w:r>
      <w:r>
        <w:t xml:space="preserve">from the prior trading day. That pullback leaves the stock entering results with some pressure already evident, but the underlying expectations for commercial HVAC, data centers, and second-half earnings conversion remain demanding.</w:t>
      </w:r>
    </w:p>
    <w:bookmarkEnd w:id="19"/>
    <w:bookmarkStart w:id="20" w:name="key-upside-catalysts"/>
    <w:p>
      <w:pPr>
        <w:pStyle w:val="Heading2"/>
      </w:pPr>
      <w:r>
        <w:t xml:space="preserve">Key upside catalysts</w:t>
      </w:r>
    </w:p>
    <w:p>
      <w:pPr>
        <w:pStyle w:val="Compact"/>
        <w:numPr>
          <w:ilvl w:val="0"/>
          <w:numId w:val="1008"/>
        </w:numPr>
      </w:pPr>
      <w:r>
        <w:t xml:space="preserve">Americas Commercial HVAC revenue above the company’s roughly 10% 2Q expectation.</w:t>
      </w:r>
    </w:p>
    <w:p>
      <w:pPr>
        <w:pStyle w:val="Compact"/>
        <w:numPr>
          <w:ilvl w:val="0"/>
          <w:numId w:val="1008"/>
        </w:numPr>
      </w:pPr>
      <w:r>
        <w:t xml:space="preserve">Sustained or accelerating applied-equipment bookings, especially if strength is broad beyond data centers.</w:t>
      </w:r>
    </w:p>
    <w:p>
      <w:pPr>
        <w:pStyle w:val="Compact"/>
        <w:numPr>
          <w:ilvl w:val="0"/>
          <w:numId w:val="1008"/>
        </w:numPr>
      </w:pPr>
      <w:r>
        <w:t xml:space="preserve">Better-than-expected margin conversion and confirmation of mid-20% organic leverage.</w:t>
      </w:r>
    </w:p>
    <w:p>
      <w:pPr>
        <w:pStyle w:val="Compact"/>
        <w:numPr>
          <w:ilvl w:val="0"/>
          <w:numId w:val="1008"/>
        </w:numPr>
      </w:pPr>
      <w:r>
        <w:t xml:space="preserve">Stellar revenue/integration tracking ahead of expectations.</w:t>
      </w:r>
    </w:p>
    <w:p>
      <w:pPr>
        <w:pStyle w:val="Compact"/>
        <w:numPr>
          <w:ilvl w:val="0"/>
          <w:numId w:val="1008"/>
        </w:numPr>
      </w:pPr>
      <w:r>
        <w:t xml:space="preserve">Residential moving from stabilization to modest growth sooner than expected.</w:t>
      </w:r>
    </w:p>
    <w:p>
      <w:pPr>
        <w:pStyle w:val="Compact"/>
        <w:numPr>
          <w:ilvl w:val="0"/>
          <w:numId w:val="1008"/>
        </w:numPr>
      </w:pPr>
      <w:r>
        <w:t xml:space="preserve">A contained Middle East impact and improved EMEA margin outlook.</w:t>
      </w:r>
    </w:p>
    <w:p>
      <w:pPr>
        <w:pStyle w:val="Compact"/>
        <w:numPr>
          <w:ilvl w:val="0"/>
          <w:numId w:val="1008"/>
        </w:numPr>
      </w:pPr>
      <w:r>
        <w:t xml:space="preserve">Guidance raised again, or a stronger-than-expected second-half outlook.</w:t>
      </w:r>
    </w:p>
    <w:bookmarkEnd w:id="20"/>
    <w:bookmarkStart w:id="21" w:name="key-risks"/>
    <w:p>
      <w:pPr>
        <w:pStyle w:val="Heading2"/>
      </w:pPr>
      <w:r>
        <w:t xml:space="preserve">Key risks</w:t>
      </w:r>
    </w:p>
    <w:p>
      <w:pPr>
        <w:pStyle w:val="Compact"/>
        <w:numPr>
          <w:ilvl w:val="0"/>
          <w:numId w:val="1009"/>
        </w:numPr>
      </w:pPr>
      <w:r>
        <w:t xml:space="preserve">Large-project shipment timing delays, even if backlog and demand remain intact.</w:t>
      </w:r>
    </w:p>
    <w:p>
      <w:pPr>
        <w:pStyle w:val="Compact"/>
        <w:numPr>
          <w:ilvl w:val="0"/>
          <w:numId w:val="1009"/>
        </w:numPr>
      </w:pPr>
      <w:r>
        <w:t xml:space="preserve">Data-center demand remains strong but becomes more concentrated, lengthening delivery schedules or raising execution risk.</w:t>
      </w:r>
    </w:p>
    <w:p>
      <w:pPr>
        <w:pStyle w:val="Compact"/>
        <w:numPr>
          <w:ilvl w:val="0"/>
          <w:numId w:val="1009"/>
        </w:numPr>
      </w:pPr>
      <w:r>
        <w:t xml:space="preserve">Stellar integration, capacity build-out, or mix creates more near-term margin pressure than anticipated.</w:t>
      </w:r>
    </w:p>
    <w:p>
      <w:pPr>
        <w:pStyle w:val="Compact"/>
        <w:numPr>
          <w:ilvl w:val="0"/>
          <w:numId w:val="1009"/>
        </w:numPr>
      </w:pPr>
      <w:r>
        <w:t xml:space="preserve">Residential demand or channel inventory fails to improve in the second half.</w:t>
      </w:r>
    </w:p>
    <w:p>
      <w:pPr>
        <w:pStyle w:val="Compact"/>
        <w:numPr>
          <w:ilvl w:val="0"/>
          <w:numId w:val="1009"/>
        </w:numPr>
      </w:pPr>
      <w:r>
        <w:t xml:space="preserve">Transport refrigeration declines more sharply than expected.</w:t>
      </w:r>
    </w:p>
    <w:p>
      <w:pPr>
        <w:pStyle w:val="Compact"/>
        <w:numPr>
          <w:ilvl w:val="0"/>
          <w:numId w:val="1009"/>
        </w:numPr>
      </w:pPr>
      <w:r>
        <w:t xml:space="preserve">Middle East disruption exceeds the guided $50 million revenue / $0.05 EPS impact.</w:t>
      </w:r>
    </w:p>
    <w:p>
      <w:pPr>
        <w:pStyle w:val="Compact"/>
        <w:numPr>
          <w:ilvl w:val="0"/>
          <w:numId w:val="1009"/>
        </w:numPr>
      </w:pPr>
      <w:r>
        <w:t xml:space="preserve">Tariffs and inflation pressure margins before pricing and productivity fully offset the cost.</w:t>
      </w:r>
    </w:p>
    <w:bookmarkEnd w:id="21"/>
    <w:bookmarkStart w:id="22" w:name="bottom-line"/>
    <w:p>
      <w:pPr>
        <w:pStyle w:val="Heading2"/>
      </w:pPr>
      <w:r>
        <w:t xml:space="preserve">Bottom line</w:t>
      </w:r>
    </w:p>
    <w:p>
      <w:pPr>
        <w:pStyle w:val="FirstParagraph"/>
      </w:pPr>
      <w:r>
        <w:t xml:space="preserve">TT’s 2Q report is primarily a</w:t>
      </w:r>
      <w:r>
        <w:t xml:space="preserve"> </w:t>
      </w:r>
      <w:r>
        <w:rPr>
          <w:b/>
          <w:bCs/>
        </w:rPr>
        <w:t xml:space="preserve">conversion and execution quarter</w:t>
      </w:r>
      <w:r>
        <w:t xml:space="preserve">. The company has already established exceptional demand through record backlog, substantial applied-equipment bookings, and expanding data-center capabilities. The report must now demonstrate that this demand is translating into commercial-HVAC revenue growth, operating leverage, and a credible path to the sizable second-half EPS contribution implied by full-year guidance.</w:t>
      </w:r>
    </w:p>
    <w:p>
      <w:pPr>
        <w:pStyle w:val="BodyText"/>
      </w:pPr>
      <w:r>
        <w:t xml:space="preserve">A clean outcome would feature strong Americas Commercial HVAC revenue, disciplined margins despite investment and acquisition effects, no escalation in Middle East pressure, and firm confidence in second-half acceleration. The principal downside scenario is not a collapse in orders; it is a delay in backlog conversion or a margin shortfall that challenges the pace and quality of the expected 2H earnings ramp.</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2026-07-29T18:56:04Z</dcterms:created>
  <dcterms:modified xsi:type="dcterms:W3CDTF">2026-07-29T18:56:04Z</dcterms:modified>
</cp:coreProperties>
</file>

<file path=docProps/custom.xml><?xml version="1.0" encoding="utf-8"?>
<Properties xmlns="http://schemas.openxmlformats.org/officeDocument/2006/custom-properties" xmlns:vt="http://schemas.openxmlformats.org/officeDocument/2006/docPropsVTypes"/>
</file>