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Trane Technologies (TT)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Trane Technologies plc</w:t>
            </w:r>
          </w:p>
        </w:tc>
      </w:tr>
      <w:tr>
        <w:tc>
          <w:tcPr>
            <w:tcW w:type="dxa" w:w="4320"/>
          </w:tcPr>
          <w:p>
            <w:r>
              <w:rPr>
                <w:rFonts w:ascii="Calibri" w:hAnsi="Calibri"/>
                <w:b/>
                <w:sz w:val="22"/>
              </w:rPr>
              <w:t>Ticker</w:t>
            </w:r>
          </w:p>
        </w:tc>
        <w:tc>
          <w:tcPr>
            <w:tcW w:type="dxa" w:w="4320"/>
          </w:tcPr>
          <w:p>
            <w:r>
              <w:rPr>
                <w:rFonts w:ascii="Calibri" w:hAnsi="Calibri"/>
                <w:sz w:val="22"/>
              </w:rPr>
              <w:t>TT (NYSE)</w:t>
            </w:r>
          </w:p>
        </w:tc>
      </w:tr>
      <w:tr>
        <w:tc>
          <w:tcPr>
            <w:tcW w:type="dxa" w:w="4320"/>
          </w:tcPr>
          <w:p>
            <w:r>
              <w:rPr>
                <w:rFonts w:ascii="Calibri" w:hAnsi="Calibri"/>
                <w:b/>
                <w:sz w:val="22"/>
              </w:rPr>
              <w:t>Upcoming Earnings Date</w:t>
            </w:r>
          </w:p>
        </w:tc>
        <w:tc>
          <w:tcPr>
            <w:tcW w:type="dxa" w:w="4320"/>
          </w:tcPr>
          <w:p>
            <w:r>
              <w:rPr>
                <w:rFonts w:ascii="Calibri" w:hAnsi="Calibri"/>
                <w:sz w:val="22"/>
              </w:rPr>
              <w:t>July 30, 2026 (Q2 2026 Earnings Call, 10:00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r>
        <w:tc>
          <w:tcPr>
            <w:tcW w:type="dxa" w:w="4320"/>
          </w:tcPr>
          <w:p>
            <w:r>
              <w:rPr>
                <w:rFonts w:ascii="Calibri" w:hAnsi="Calibri"/>
                <w:b/>
                <w:sz w:val="22"/>
              </w:rPr>
              <w:t>Last Earnings Date</w:t>
            </w:r>
          </w:p>
        </w:tc>
        <w:tc>
          <w:tcPr>
            <w:tcW w:type="dxa" w:w="4320"/>
          </w:tcPr>
          <w:p>
            <w:r>
              <w:rPr>
                <w:rFonts w:ascii="Calibri" w:hAnsi="Calibri"/>
                <w:sz w:val="22"/>
              </w:rPr>
              <w:t>April 30,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Consensus is a manageable bar heading into Q2 — the setup favors a beat on both revenue and EPS, with the single biggest swing factor being the pace of Applied/data-center backlog conversion in the second half and whether management raises full-year guidance again.</w:t>
      </w:r>
    </w:p>
    <w:p>
      <w:r>
        <w:rPr>
          <w:rFonts w:ascii="Calibri" w:hAnsi="Calibri"/>
          <w:color w:val="525866"/>
          <w:sz w:val="22"/>
        </w:rPr>
        <w:t xml:space="preserve">Trane Technologies heads into Q2 2026 earnings with a constructive setup: consensus sits at ~$6.21B in revenue and ~$4.26 in adjusted EPS, both of which represent achievable targets given the company's record $10.7B backlog (up ~70% YoY), management's explicit Q2 guidance of ~5% organic revenue growth and $4.20–$4.25 adjusted EPS, and the broad-based demand momentum confirmed by peers CARR and JCI just one day before TT's print. </w:t>
      </w:r>
      <w:r>
        <w:rPr>
          <w:rFonts w:ascii="Calibri" w:hAnsi="Calibri"/>
          <w:b/>
          <w:color w:val="525866"/>
          <w:sz w:val="22"/>
        </w:rPr>
        <w:t>Management's tone since Q1 has remained confident</w:t>
      </w:r>
      <w:r>
        <w:rPr>
          <w:rFonts w:ascii="Calibri" w:hAnsi="Calibri"/>
          <w:color w:val="525866"/>
          <w:sz w:val="22"/>
        </w:rPr>
        <w:t xml:space="preserve"> — three post-earnings conferences (Oppenheimer, BofA, Wolfe) all reiterated the full-year framework of 7% organic revenue growth and 13–15% adjusted EPS growth, with pricing now tracking ~2 points (up from 1.5 points in January) and tariff headwinds described as "baked into the guide." Estimate revisions have been remarkably stable since the Q1 print, with Q2 EPS consensus barely moving from $4.25 to $4.26 over the past 12 weeks, suggesting the Street is neither chasing upside nor pricing in risk — a low-volatility setup that historically favors TT's beat-and-raise pattern. </w:t>
      </w:r>
      <w:r>
        <w:rPr>
          <w:rFonts w:ascii="Calibri" w:hAnsi="Calibri"/>
          <w:b/>
          <w:color w:val="525866"/>
          <w:sz w:val="22"/>
        </w:rPr>
        <w:t>The stock has underperformed XLI by ~7% since the Q1 print</w:t>
      </w:r>
      <w:r>
        <w:rPr>
          <w:rFonts w:ascii="Calibri" w:hAnsi="Calibri"/>
          <w:color w:val="525866"/>
          <w:sz w:val="22"/>
        </w:rPr>
        <w:t xml:space="preserve"> (TT -9.3% vs. XLI +1.2% indexed), driven almost entirely by multiple compression rather than estimate cuts, which creates a more attractive entry point if management delivers the expected H2 acceleration. The key wildcard is the departure of Global Supply Chain Chief Gary Guo (effective August 1), which introduces modest execution uncertainty precisely as the company ramps Stellar Energy's Texas facility and accelerates Applied deliveries — any commentary on supply chain continuity will be closely watched.</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 management guided Q2 adjusted EPS to $4.20–$4.25 and consensus sits at $4.26, leaving minimal cushion on EPS but more room on revenue given CARR's Q2 data-center delivery timing commentary. </w:t>
      </w:r>
      <w:r>
        <w:rPr>
          <w:rFonts w:ascii="Calibri" w:hAnsi="Calibri"/>
          <w:b/>
          <w:color w:val="525866"/>
          <w:sz w:val="22"/>
        </w:rPr>
        <w:t>Organic revenue growth is the bigger swing factor</w:t>
      </w:r>
      <w:r>
        <w:rPr>
          <w:rFonts w:ascii="Calibri" w:hAnsi="Calibri"/>
          <w:color w:val="525866"/>
          <w:sz w:val="22"/>
        </w:rPr>
        <w:t>: management guided ~5% organic, and peer read-throughs from CARR (+40% commercial HVAC orders) and JCI (+27% orders, +10% organic revenue) suggest the demand environment is supportive of meeting or exceeding that bar.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Actual)</w:t>
            </w:r>
          </w:p>
        </w:tc>
        <w:tc>
          <w:tcPr>
            <w:tcW w:type="dxa" w:w="1234"/>
            <w:shd w:val="clear" w:color="auto" w:fill="3B4259"/>
          </w:tcPr>
          <w:p>
            <w:r>
              <w:rPr>
                <w:rFonts w:ascii="Calibri" w:hAnsi="Calibri"/>
                <w:b/>
                <w:color w:val="FFFFFF"/>
                <w:sz w:val="22"/>
              </w:rPr>
              <w:t>Q2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($B)</w:t>
            </w:r>
          </w:p>
        </w:tc>
        <w:tc>
          <w:tcPr>
            <w:tcW w:type="dxa" w:w="1234"/>
          </w:tcPr>
          <w:p>
            <w:r>
              <w:rPr>
                <w:rFonts w:ascii="Calibri" w:hAnsi="Calibri"/>
                <w:sz w:val="22"/>
              </w:rPr>
              <w:t>$4.97B</w:t>
            </w:r>
          </w:p>
        </w:tc>
        <w:tc>
          <w:tcPr>
            <w:tcW w:type="dxa" w:w="1234"/>
          </w:tcPr>
          <w:p>
            <w:r>
              <w:rPr>
                <w:rFonts w:ascii="Calibri" w:hAnsi="Calibri"/>
                <w:sz w:val="22"/>
              </w:rPr>
              <w:t>$5.75B</w:t>
            </w:r>
          </w:p>
        </w:tc>
        <w:tc>
          <w:tcPr>
            <w:tcW w:type="dxa" w:w="1234"/>
          </w:tcPr>
          <w:p>
            <w:r>
              <w:rPr>
                <w:rFonts w:ascii="Calibri" w:hAnsi="Calibri"/>
                <w:sz w:val="22"/>
              </w:rPr>
              <w:t>$6.21B</w:t>
            </w:r>
          </w:p>
        </w:tc>
        <w:tc>
          <w:tcPr>
            <w:tcW w:type="dxa" w:w="1234"/>
          </w:tcPr>
          <w:p>
            <w:r>
              <w:rPr>
                <w:rFonts w:ascii="Calibri" w:hAnsi="Calibri"/>
                <w:sz w:val="22"/>
              </w:rPr>
              <w:t>+8.0% YoY</w:t>
            </w:r>
          </w:p>
        </w:tc>
        <w:tc>
          <w:tcPr>
            <w:tcW w:type="dxa" w:w="1234"/>
          </w:tcPr>
          <w:p>
            <w:r>
              <w:rPr>
                <w:rFonts w:ascii="Calibri" w:hAnsi="Calibri"/>
                <w:sz w:val="22"/>
              </w:rPr>
              <w:t>~5% organic growth</w:t>
            </w:r>
          </w:p>
        </w:tc>
        <w:tc>
          <w:tcPr>
            <w:tcW w:type="dxa" w:w="1234"/>
          </w:tcPr>
          <w:p>
            <w:r>
              <w:rPr>
                <w:rFonts w:ascii="Calibri" w:hAnsi="Calibri"/>
                <w:sz w:val="22"/>
              </w:rPr>
              <w:t>~+1% above implied midpoint</w:t>
            </w:r>
          </w:p>
        </w:tc>
      </w:tr>
      <w:tr>
        <w:tc>
          <w:tcPr>
            <w:tcW w:type="dxa" w:w="1234"/>
          </w:tcPr>
          <w:p>
            <w:r>
              <w:rPr>
                <w:rFonts w:ascii="Calibri" w:hAnsi="Calibri"/>
                <w:sz w:val="22"/>
              </w:rPr>
              <w:t>Adj. EPS — Diluted Operating ($)</w:t>
            </w:r>
          </w:p>
        </w:tc>
        <w:tc>
          <w:tcPr>
            <w:tcW w:type="dxa" w:w="1234"/>
          </w:tcPr>
          <w:p>
            <w:r>
              <w:rPr>
                <w:rFonts w:ascii="Calibri" w:hAnsi="Calibri"/>
                <w:sz w:val="22"/>
              </w:rPr>
              <w:t>$2.63</w:t>
            </w:r>
          </w:p>
        </w:tc>
        <w:tc>
          <w:tcPr>
            <w:tcW w:type="dxa" w:w="1234"/>
          </w:tcPr>
          <w:p>
            <w:r>
              <w:rPr>
                <w:rFonts w:ascii="Calibri" w:hAnsi="Calibri"/>
                <w:sz w:val="22"/>
              </w:rPr>
              <w:t>$3.88</w:t>
            </w:r>
          </w:p>
        </w:tc>
        <w:tc>
          <w:tcPr>
            <w:tcW w:type="dxa" w:w="1234"/>
          </w:tcPr>
          <w:p>
            <w:r>
              <w:rPr>
                <w:rFonts w:ascii="Calibri" w:hAnsi="Calibri"/>
                <w:sz w:val="22"/>
              </w:rPr>
              <w:t>$4.26</w:t>
            </w:r>
          </w:p>
        </w:tc>
        <w:tc>
          <w:tcPr>
            <w:tcW w:type="dxa" w:w="1234"/>
          </w:tcPr>
          <w:p>
            <w:r>
              <w:rPr>
                <w:rFonts w:ascii="Calibri" w:hAnsi="Calibri"/>
                <w:sz w:val="22"/>
              </w:rPr>
              <w:t>+9.8% YoY</w:t>
            </w:r>
          </w:p>
        </w:tc>
        <w:tc>
          <w:tcPr>
            <w:tcW w:type="dxa" w:w="1234"/>
          </w:tcPr>
          <w:p>
            <w:r>
              <w:rPr>
                <w:rFonts w:ascii="Calibri" w:hAnsi="Calibri"/>
                <w:sz w:val="22"/>
              </w:rPr>
              <w:t>$4.20–$4.25</w:t>
            </w:r>
          </w:p>
        </w:tc>
        <w:tc>
          <w:tcPr>
            <w:tcW w:type="dxa" w:w="1234"/>
          </w:tcPr>
          <w:p>
            <w:r>
              <w:rPr>
                <w:rFonts w:ascii="Calibri" w:hAnsi="Calibri"/>
                <w:sz w:val="22"/>
              </w:rPr>
              <w:t>+0.2% above midpoint ($4.225)</w:t>
            </w:r>
          </w:p>
        </w:tc>
      </w:tr>
      <w:tr>
        <w:tc>
          <w:tcPr>
            <w:tcW w:type="dxa" w:w="1234"/>
          </w:tcPr>
          <w:p>
            <w:r>
              <w:rPr>
                <w:rFonts w:ascii="Calibri" w:hAnsi="Calibri"/>
                <w:sz w:val="22"/>
              </w:rPr>
              <w:t>Organic Revenue Growth (%)</w:t>
            </w:r>
          </w:p>
        </w:tc>
        <w:tc>
          <w:tcPr>
            <w:tcW w:type="dxa" w:w="1234"/>
          </w:tcPr>
          <w:p>
            <w:r>
              <w:rPr>
                <w:rFonts w:ascii="Calibri" w:hAnsi="Calibri"/>
                <w:sz w:val="22"/>
              </w:rPr>
              <w:t>+3.5%</w:t>
            </w:r>
          </w:p>
        </w:tc>
        <w:tc>
          <w:tcPr>
            <w:tcW w:type="dxa" w:w="1234"/>
          </w:tcPr>
          <w:p>
            <w:r>
              <w:rPr>
                <w:rFonts w:ascii="Calibri" w:hAnsi="Calibri"/>
                <w:sz w:val="22"/>
              </w:rPr>
              <w:t>+6.6%</w:t>
            </w:r>
          </w:p>
        </w:tc>
        <w:tc>
          <w:tcPr>
            <w:tcW w:type="dxa" w:w="1234"/>
          </w:tcPr>
          <w:p>
            <w:r>
              <w:rPr>
                <w:rFonts w:ascii="Calibri" w:hAnsi="Calibri"/>
                <w:sz w:val="22"/>
              </w:rPr>
              <w:t>~+5.4%</w:t>
            </w:r>
          </w:p>
        </w:tc>
        <w:tc>
          <w:tcPr>
            <w:tcW w:type="dxa" w:w="1234"/>
          </w:tcPr>
          <w:p>
            <w:r>
              <w:rPr>
                <w:rFonts w:ascii="Calibri" w:hAnsi="Calibri"/>
                <w:sz w:val="22"/>
              </w:rPr>
              <w:t>~(120) bps vs. PY</w:t>
            </w:r>
          </w:p>
        </w:tc>
        <w:tc>
          <w:tcPr>
            <w:tcW w:type="dxa" w:w="1234"/>
          </w:tcPr>
          <w:p>
            <w:r>
              <w:rPr>
                <w:rFonts w:ascii="Calibri" w:hAnsi="Calibri"/>
                <w:sz w:val="22"/>
              </w:rPr>
              <w:t>~5%</w:t>
            </w:r>
          </w:p>
        </w:tc>
        <w:tc>
          <w:tcPr>
            <w:tcW w:type="dxa" w:w="1234"/>
          </w:tcPr>
          <w:p>
            <w:r>
              <w:rPr>
                <w:rFonts w:ascii="Calibri" w:hAnsi="Calibri"/>
                <w:sz w:val="22"/>
              </w:rPr>
              <w:t>+40 bps above guide</w:t>
            </w:r>
          </w:p>
        </w:tc>
      </w:tr>
      <w:tr>
        <w:tc>
          <w:tcPr>
            <w:tcW w:type="dxa" w:w="1234"/>
          </w:tcPr>
          <w:p>
            <w:r>
              <w:rPr>
                <w:rFonts w:ascii="Calibri" w:hAnsi="Calibri"/>
                <w:sz w:val="22"/>
              </w:rPr>
              <w:t>Adj. Operating Margin — Operating (%)</w:t>
            </w:r>
          </w:p>
        </w:tc>
        <w:tc>
          <w:tcPr>
            <w:tcW w:type="dxa" w:w="1234"/>
          </w:tcPr>
          <w:p>
            <w:r>
              <w:rPr>
                <w:rFonts w:ascii="Calibri" w:hAnsi="Calibri"/>
                <w:sz w:val="22"/>
              </w:rPr>
              <w:t>16.0%</w:t>
            </w:r>
          </w:p>
        </w:tc>
        <w:tc>
          <w:tcPr>
            <w:tcW w:type="dxa" w:w="1234"/>
          </w:tcPr>
          <w:p>
            <w:r>
              <w:rPr>
                <w:rFonts w:ascii="Calibri" w:hAnsi="Calibri"/>
                <w:sz w:val="22"/>
              </w:rPr>
              <w:t>20.3%</w:t>
            </w:r>
          </w:p>
        </w:tc>
        <w:tc>
          <w:tcPr>
            <w:tcW w:type="dxa" w:w="1234"/>
          </w:tcPr>
          <w:p>
            <w:r>
              <w:rPr>
                <w:rFonts w:ascii="Calibri" w:hAnsi="Calibri"/>
                <w:sz w:val="22"/>
              </w:rPr>
              <w:t>~19.9%</w:t>
            </w:r>
          </w:p>
        </w:tc>
        <w:tc>
          <w:tcPr>
            <w:tcW w:type="dxa" w:w="1234"/>
          </w:tcPr>
          <w:p>
            <w:r>
              <w:rPr>
                <w:rFonts w:ascii="Calibri" w:hAnsi="Calibri"/>
                <w:sz w:val="22"/>
              </w:rPr>
              <w:t>(40) bps YoY</w:t>
            </w:r>
          </w:p>
        </w:tc>
        <w:tc>
          <w:tcPr>
            <w:tcW w:type="dxa" w:w="1234"/>
          </w:tcPr>
          <w:p>
            <w:r>
              <w:rPr>
                <w:rFonts w:ascii="Calibri" w:hAnsi="Calibri"/>
                <w:sz w:val="22"/>
              </w:rPr>
              <w:t>Mid-20s organic leverage</w:t>
            </w:r>
          </w:p>
        </w:tc>
        <w:tc>
          <w:tcPr>
            <w:tcW w:type="dxa" w:w="1234"/>
          </w:tcPr>
          <w:p>
            <w:r>
              <w:rPr>
                <w:rFonts w:ascii="Calibri" w:hAnsi="Calibri"/>
                <w:sz w:val="22"/>
              </w:rPr>
              <w:t>Broadly in line</w:t>
            </w:r>
          </w:p>
        </w:tc>
      </w:tr>
      <w:tr>
        <w:tc>
          <w:tcPr>
            <w:tcW w:type="dxa" w:w="1234"/>
          </w:tcPr>
          <w:p>
            <w:r>
              <w:rPr>
                <w:rFonts w:ascii="Calibri" w:hAnsi="Calibri"/>
                <w:sz w:val="22"/>
              </w:rPr>
              <w:t>Free Cash Flow ($B)</w:t>
            </w:r>
          </w:p>
        </w:tc>
        <w:tc>
          <w:tcPr>
            <w:tcW w:type="dxa" w:w="1234"/>
          </w:tcPr>
          <w:p>
            <w:r>
              <w:rPr>
                <w:rFonts w:ascii="Calibri" w:hAnsi="Calibri"/>
                <w:sz w:val="22"/>
              </w:rPr>
              <w:t>$0.55B</w:t>
            </w:r>
          </w:p>
        </w:tc>
        <w:tc>
          <w:tcPr>
            <w:tcW w:type="dxa" w:w="1234"/>
          </w:tcPr>
          <w:p>
            <w:r>
              <w:rPr>
                <w:rFonts w:ascii="Calibri" w:hAnsi="Calibri"/>
                <w:sz w:val="22"/>
              </w:rPr>
              <w:t>$0.60B</w:t>
            </w:r>
          </w:p>
        </w:tc>
        <w:tc>
          <w:tcPr>
            <w:tcW w:type="dxa" w:w="1234"/>
          </w:tcPr>
          <w:p>
            <w:r>
              <w:rPr>
                <w:rFonts w:ascii="Calibri" w:hAnsi="Calibri"/>
                <w:sz w:val="22"/>
              </w:rPr>
              <w:t>$0.75B</w:t>
            </w:r>
          </w:p>
        </w:tc>
        <w:tc>
          <w:tcPr>
            <w:tcW w:type="dxa" w:w="1234"/>
          </w:tcPr>
          <w:p>
            <w:r>
              <w:rPr>
                <w:rFonts w:ascii="Calibri" w:hAnsi="Calibri"/>
                <w:sz w:val="22"/>
              </w:rPr>
              <w:t>+24.2% YoY</w:t>
            </w:r>
          </w:p>
        </w:tc>
        <w:tc>
          <w:tcPr>
            <w:tcW w:type="dxa" w:w="1234"/>
          </w:tcPr>
          <w:p>
            <w:r>
              <w:rPr>
                <w:rFonts w:ascii="Calibri" w:hAnsi="Calibri"/>
                <w:sz w:val="22"/>
              </w:rPr>
              <w:t>≥100% FCF conversion (FY)</w:t>
            </w:r>
          </w:p>
        </w:tc>
        <w:tc>
          <w:tcPr>
            <w:tcW w:type="dxa" w:w="1234"/>
          </w:tcPr>
          <w:p>
            <w:r>
              <w:rPr>
                <w:rFonts w:ascii="Calibri" w:hAnsi="Calibri"/>
                <w:sz w:val="22"/>
              </w:rPr>
              <w:t>N/A — quarterly FCF guidance not provided</w:t>
            </w:r>
          </w:p>
        </w:tc>
      </w:tr>
    </w:tbl>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 ($)</w:t>
            </w:r>
          </w:p>
        </w:tc>
        <w:tc>
          <w:tcPr>
            <w:tcW w:type="dxa" w:w="1440"/>
          </w:tcPr>
          <w:p>
            <w:r>
              <w:rPr>
                <w:rFonts w:ascii="Calibri" w:hAnsi="Calibri"/>
                <w:sz w:val="22"/>
              </w:rPr>
              <w:t>$2.63</w:t>
            </w:r>
          </w:p>
        </w:tc>
        <w:tc>
          <w:tcPr>
            <w:tcW w:type="dxa" w:w="1440"/>
          </w:tcPr>
          <w:p>
            <w:r>
              <w:rPr>
                <w:rFonts w:ascii="Calibri" w:hAnsi="Calibri"/>
                <w:sz w:val="22"/>
              </w:rPr>
              <w:t>$2.54</w:t>
            </w:r>
          </w:p>
        </w:tc>
        <w:tc>
          <w:tcPr>
            <w:tcW w:type="dxa" w:w="1440"/>
          </w:tcPr>
          <w:p>
            <w:r>
              <w:rPr>
                <w:rFonts w:ascii="Calibri" w:hAnsi="Calibri"/>
                <w:b/>
                <w:color w:val="30A46C"/>
                <w:sz w:val="22"/>
              </w:rPr>
              <w:t>+3.5%</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Net Revenue ($B)</w:t>
            </w:r>
          </w:p>
        </w:tc>
        <w:tc>
          <w:tcPr>
            <w:tcW w:type="dxa" w:w="1440"/>
          </w:tcPr>
          <w:p>
            <w:r>
              <w:rPr>
                <w:rFonts w:ascii="Calibri" w:hAnsi="Calibri"/>
                <w:sz w:val="22"/>
              </w:rPr>
              <w:t>$4.97B</w:t>
            </w:r>
          </w:p>
        </w:tc>
        <w:tc>
          <w:tcPr>
            <w:tcW w:type="dxa" w:w="1440"/>
          </w:tcPr>
          <w:p>
            <w:r>
              <w:rPr>
                <w:rFonts w:ascii="Calibri" w:hAnsi="Calibri"/>
                <w:sz w:val="22"/>
              </w:rPr>
              <w:t>$4.82B</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 ($)</w:t>
            </w:r>
          </w:p>
        </w:tc>
        <w:tc>
          <w:tcPr>
            <w:tcW w:type="dxa" w:w="1440"/>
          </w:tcPr>
          <w:p>
            <w:r>
              <w:rPr>
                <w:rFonts w:ascii="Calibri" w:hAnsi="Calibri"/>
                <w:sz w:val="22"/>
              </w:rPr>
              <w:t>$2.86</w:t>
            </w:r>
          </w:p>
        </w:tc>
        <w:tc>
          <w:tcPr>
            <w:tcW w:type="dxa" w:w="1440"/>
          </w:tcPr>
          <w:p>
            <w:r>
              <w:rPr>
                <w:rFonts w:ascii="Calibri" w:hAnsi="Calibri"/>
                <w:sz w:val="22"/>
              </w:rPr>
              <w:t>$2.83</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Net Revenue ($B)</w:t>
            </w:r>
          </w:p>
        </w:tc>
        <w:tc>
          <w:tcPr>
            <w:tcW w:type="dxa" w:w="1440"/>
          </w:tcPr>
          <w:p>
            <w:r>
              <w:rPr>
                <w:rFonts w:ascii="Calibri" w:hAnsi="Calibri"/>
                <w:sz w:val="22"/>
              </w:rPr>
              <w:t>$5.14B</w:t>
            </w:r>
          </w:p>
        </w:tc>
        <w:tc>
          <w:tcPr>
            <w:tcW w:type="dxa" w:w="1440"/>
          </w:tcPr>
          <w:p>
            <w:r>
              <w:rPr>
                <w:rFonts w:ascii="Calibri" w:hAnsi="Calibri"/>
                <w:sz w:val="22"/>
              </w:rPr>
              <w:t>$5.11B</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 ($)</w:t>
            </w:r>
          </w:p>
        </w:tc>
        <w:tc>
          <w:tcPr>
            <w:tcW w:type="dxa" w:w="1440"/>
          </w:tcPr>
          <w:p>
            <w:r>
              <w:rPr>
                <w:rFonts w:ascii="Calibri" w:hAnsi="Calibri"/>
                <w:sz w:val="22"/>
              </w:rPr>
              <w:t>$3.88</w:t>
            </w:r>
          </w:p>
        </w:tc>
        <w:tc>
          <w:tcPr>
            <w:tcW w:type="dxa" w:w="1440"/>
          </w:tcPr>
          <w:p>
            <w:r>
              <w:rPr>
                <w:rFonts w:ascii="Calibri" w:hAnsi="Calibri"/>
                <w:sz w:val="22"/>
              </w:rPr>
              <w:t>$3.78</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Revenue ($B)</w:t>
            </w:r>
          </w:p>
        </w:tc>
        <w:tc>
          <w:tcPr>
            <w:tcW w:type="dxa" w:w="1440"/>
          </w:tcPr>
          <w:p>
            <w:r>
              <w:rPr>
                <w:rFonts w:ascii="Calibri" w:hAnsi="Calibri"/>
                <w:sz w:val="22"/>
              </w:rPr>
              <w:t>$5.74B</w:t>
            </w:r>
          </w:p>
        </w:tc>
        <w:tc>
          <w:tcPr>
            <w:tcW w:type="dxa" w:w="1440"/>
          </w:tcPr>
          <w:p>
            <w:r>
              <w:rPr>
                <w:rFonts w:ascii="Calibri" w:hAnsi="Calibri"/>
                <w:sz w:val="22"/>
              </w:rPr>
              <w:t>$5.79B</w:t>
            </w:r>
          </w:p>
        </w:tc>
        <w:tc>
          <w:tcPr>
            <w:tcW w:type="dxa" w:w="1440"/>
          </w:tcPr>
          <w:p>
            <w:r>
              <w:rPr>
                <w:rFonts w:ascii="Calibri" w:hAnsi="Calibri"/>
                <w:b/>
                <w:color w:val="E5484D"/>
                <w:sz w:val="22"/>
              </w:rPr>
              <w:t>-0.9%</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EPS ($)</w:t>
            </w:r>
          </w:p>
        </w:tc>
        <w:tc>
          <w:tcPr>
            <w:tcW w:type="dxa" w:w="1440"/>
          </w:tcPr>
          <w:p>
            <w:r>
              <w:rPr>
                <w:rFonts w:ascii="Calibri" w:hAnsi="Calibri"/>
                <w:sz w:val="22"/>
              </w:rPr>
              <w:t>$3.88</w:t>
            </w:r>
          </w:p>
        </w:tc>
        <w:tc>
          <w:tcPr>
            <w:tcW w:type="dxa" w:w="1440"/>
          </w:tcPr>
          <w:p>
            <w:r>
              <w:rPr>
                <w:rFonts w:ascii="Calibri" w:hAnsi="Calibri"/>
                <w:sz w:val="22"/>
              </w:rPr>
              <w:t>$3.78</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Net Revenue ($B)</w:t>
            </w:r>
          </w:p>
        </w:tc>
        <w:tc>
          <w:tcPr>
            <w:tcW w:type="dxa" w:w="1440"/>
          </w:tcPr>
          <w:p>
            <w:r>
              <w:rPr>
                <w:rFonts w:ascii="Calibri" w:hAnsi="Calibri"/>
                <w:sz w:val="22"/>
              </w:rPr>
              <w:t>$5.75B</w:t>
            </w:r>
          </w:p>
        </w:tc>
        <w:tc>
          <w:tcPr>
            <w:tcW w:type="dxa" w:w="1440"/>
          </w:tcPr>
          <w:p>
            <w:r>
              <w:rPr>
                <w:rFonts w:ascii="Calibri" w:hAnsi="Calibri"/>
                <w:sz w:val="22"/>
              </w:rPr>
              <w:t>$5.76B</w:t>
            </w:r>
          </w:p>
        </w:tc>
        <w:tc>
          <w:tcPr>
            <w:tcW w:type="dxa" w:w="1440"/>
          </w:tcPr>
          <w:p>
            <w:r>
              <w:rPr>
                <w:rFonts w:ascii="Calibri" w:hAnsi="Calibri"/>
                <w:b/>
                <w:color w:val="E5484D"/>
                <w:sz w:val="22"/>
              </w:rPr>
              <w:t>-0.2%</w:t>
            </w:r>
          </w:p>
        </w:tc>
        <w:tc>
          <w:tcPr>
            <w:tcW w:type="dxa" w:w="1440"/>
          </w:tcPr>
          <w:p>
            <w:r>
              <w:rPr>
                <w:rFonts w:ascii="Calibri" w:hAnsi="Calibri"/>
                <w:sz w:val="22"/>
              </w:rPr>
              <w:t>Slight Miss</w:t>
            </w:r>
          </w:p>
        </w:tc>
      </w:tr>
      <w:tr>
        <w:tc>
          <w:tcPr>
            <w:tcW w:type="dxa" w:w="1440"/>
          </w:tcPr>
          <w:p>
            <w:r>
              <w:rPr>
                <w:rFonts w:ascii="Calibri" w:hAnsi="Calibri"/>
                <w:sz w:val="22"/>
              </w:rPr>
              <w:t>Q1 2025</w:t>
            </w:r>
          </w:p>
        </w:tc>
        <w:tc>
          <w:tcPr>
            <w:tcW w:type="dxa" w:w="1440"/>
          </w:tcPr>
          <w:p>
            <w:r>
              <w:rPr>
                <w:rFonts w:ascii="Calibri" w:hAnsi="Calibri"/>
                <w:sz w:val="22"/>
              </w:rPr>
              <w:t>Adj. EPS ($)</w:t>
            </w:r>
          </w:p>
        </w:tc>
        <w:tc>
          <w:tcPr>
            <w:tcW w:type="dxa" w:w="1440"/>
          </w:tcPr>
          <w:p>
            <w:r>
              <w:rPr>
                <w:rFonts w:ascii="Calibri" w:hAnsi="Calibri"/>
                <w:sz w:val="22"/>
              </w:rPr>
              <w:t>$2.45</w:t>
            </w:r>
          </w:p>
        </w:tc>
        <w:tc>
          <w:tcPr>
            <w:tcW w:type="dxa" w:w="1440"/>
          </w:tcPr>
          <w:p>
            <w:r>
              <w:rPr>
                <w:rFonts w:ascii="Calibri" w:hAnsi="Calibri"/>
                <w:sz w:val="22"/>
              </w:rPr>
              <w:t>$2.20</w:t>
            </w:r>
          </w:p>
        </w:tc>
        <w:tc>
          <w:tcPr>
            <w:tcW w:type="dxa" w:w="1440"/>
          </w:tcPr>
          <w:p>
            <w:r>
              <w:rPr>
                <w:rFonts w:ascii="Calibri" w:hAnsi="Calibri"/>
                <w:b/>
                <w:color w:val="30A46C"/>
                <w:sz w:val="22"/>
              </w:rPr>
              <w:t>+11.4%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Revenue ($B)</w:t>
            </w:r>
          </w:p>
        </w:tc>
        <w:tc>
          <w:tcPr>
            <w:tcW w:type="dxa" w:w="1440"/>
          </w:tcPr>
          <w:p>
            <w:r>
              <w:rPr>
                <w:rFonts w:ascii="Calibri" w:hAnsi="Calibri"/>
                <w:sz w:val="22"/>
              </w:rPr>
              <w:t>$4.69B</w:t>
            </w:r>
          </w:p>
        </w:tc>
        <w:tc>
          <w:tcPr>
            <w:tcW w:type="dxa" w:w="1440"/>
          </w:tcPr>
          <w:p>
            <w:r>
              <w:rPr>
                <w:rFonts w:ascii="Calibri" w:hAnsi="Calibri"/>
                <w:sz w:val="22"/>
              </w:rPr>
              <w:t>$4.46B</w:t>
            </w:r>
          </w:p>
        </w:tc>
        <w:tc>
          <w:tcPr>
            <w:tcW w:type="dxa" w:w="1440"/>
          </w:tcPr>
          <w:p>
            <w:r>
              <w:rPr>
                <w:rFonts w:ascii="Calibri" w:hAnsi="Calibri"/>
                <w:b/>
                <w:color w:val="30A46C"/>
                <w:sz w:val="22"/>
              </w:rPr>
              <w:t>+5.0%</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 ($)</w:t>
            </w:r>
          </w:p>
        </w:tc>
        <w:tc>
          <w:tcPr>
            <w:tcW w:type="dxa" w:w="1440"/>
          </w:tcPr>
          <w:p>
            <w:r>
              <w:rPr>
                <w:rFonts w:ascii="Calibri" w:hAnsi="Calibri"/>
                <w:sz w:val="22"/>
              </w:rPr>
              <w:t>$2.61</w:t>
            </w:r>
          </w:p>
        </w:tc>
        <w:tc>
          <w:tcPr>
            <w:tcW w:type="dxa" w:w="1440"/>
          </w:tcPr>
          <w:p>
            <w:r>
              <w:rPr>
                <w:rFonts w:ascii="Calibri" w:hAnsi="Calibri"/>
                <w:sz w:val="22"/>
              </w:rPr>
              <w:t>$2.52</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Revenue ($B)</w:t>
            </w:r>
          </w:p>
        </w:tc>
        <w:tc>
          <w:tcPr>
            <w:tcW w:type="dxa" w:w="1440"/>
          </w:tcPr>
          <w:p>
            <w:r>
              <w:rPr>
                <w:rFonts w:ascii="Calibri" w:hAnsi="Calibri"/>
                <w:sz w:val="22"/>
              </w:rPr>
              <w:t>$4.87B</w:t>
            </w:r>
          </w:p>
        </w:tc>
        <w:tc>
          <w:tcPr>
            <w:tcW w:type="dxa" w:w="1440"/>
          </w:tcPr>
          <w:p>
            <w:r>
              <w:rPr>
                <w:rFonts w:ascii="Calibri" w:hAnsi="Calibri"/>
                <w:sz w:val="22"/>
              </w:rPr>
              <w:t>$4.78B</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 ($)</w:t>
            </w:r>
          </w:p>
        </w:tc>
        <w:tc>
          <w:tcPr>
            <w:tcW w:type="dxa" w:w="1440"/>
          </w:tcPr>
          <w:p>
            <w:r>
              <w:rPr>
                <w:rFonts w:ascii="Calibri" w:hAnsi="Calibri"/>
                <w:sz w:val="22"/>
              </w:rPr>
              <w:t>$3.37</w:t>
            </w:r>
          </w:p>
        </w:tc>
        <w:tc>
          <w:tcPr>
            <w:tcW w:type="dxa" w:w="1440"/>
          </w:tcPr>
          <w:p>
            <w:r>
              <w:rPr>
                <w:rFonts w:ascii="Calibri" w:hAnsi="Calibri"/>
                <w:sz w:val="22"/>
              </w:rPr>
              <w:t>$3.22</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Net Revenue ($B)</w:t>
            </w:r>
          </w:p>
        </w:tc>
        <w:tc>
          <w:tcPr>
            <w:tcW w:type="dxa" w:w="1440"/>
          </w:tcPr>
          <w:p>
            <w:r>
              <w:rPr>
                <w:rFonts w:ascii="Calibri" w:hAnsi="Calibri"/>
                <w:sz w:val="22"/>
              </w:rPr>
              <w:t>$5.44B</w:t>
            </w:r>
          </w:p>
        </w:tc>
        <w:tc>
          <w:tcPr>
            <w:tcW w:type="dxa" w:w="1440"/>
          </w:tcPr>
          <w:p>
            <w:r>
              <w:rPr>
                <w:rFonts w:ascii="Calibri" w:hAnsi="Calibri"/>
                <w:sz w:val="22"/>
              </w:rPr>
              <w:t>$5.30B</w:t>
            </w:r>
          </w:p>
        </w:tc>
        <w:tc>
          <w:tcPr>
            <w:tcW w:type="dxa" w:w="1440"/>
          </w:tcPr>
          <w:p>
            <w:r>
              <w:rPr>
                <w:rFonts w:ascii="Calibri" w:hAnsi="Calibri"/>
                <w:b/>
                <w:color w:val="30A46C"/>
                <w:sz w:val="22"/>
              </w:rPr>
              <w:t>+2.6%</w:t>
            </w:r>
          </w:p>
        </w:tc>
        <w:tc>
          <w:tcPr>
            <w:tcW w:type="dxa" w:w="1440"/>
          </w:tcPr>
          <w:p>
            <w:r>
              <w:rPr>
                <w:rFonts w:ascii="Calibri" w:hAnsi="Calibri"/>
                <w:sz w:val="22"/>
              </w:rPr>
              <w:t>Beat</w:t>
            </w:r>
          </w:p>
        </w:tc>
      </w:tr>
    </w:tbl>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Q1 earnings call (April 30), but management's tone at three post-earnings conferences has been consistently constructive — pricing assumptions have drifted higher (~2 pts vs. 1.5 pts in January) and the residential outlook has improved, while tariff headwinds are described as fully absorbed in the guide. </w:t>
      </w:r>
      <w:r>
        <w:rPr>
          <w:rFonts w:ascii="Calibri" w:hAnsi="Calibri"/>
          <w:b/>
          <w:color w:val="525866"/>
          <w:sz w:val="22"/>
        </w:rPr>
        <w:t>No downward revisions; the risk is to the upside on a second consecutive guidance raise.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Organic Revenue Growth</w:t>
            </w:r>
          </w:p>
        </w:tc>
        <w:tc>
          <w:tcPr>
            <w:tcW w:type="dxa" w:w="1728"/>
          </w:tcPr>
          <w:p>
            <w:r>
              <w:rPr>
                <w:rFonts w:ascii="Calibri" w:hAnsi="Calibri"/>
                <w:sz w:val="22"/>
              </w:rPr>
              <w:t>~7% (high end of prior 6–7% range)</w:t>
            </w:r>
          </w:p>
        </w:tc>
        <w:tc>
          <w:tcPr>
            <w:tcW w:type="dxa" w:w="1728"/>
          </w:tcPr>
          <w:p>
            <w:r>
              <w:rPr>
                <w:rFonts w:ascii="Calibri" w:hAnsi="Calibri"/>
                <w:sz w:val="22"/>
              </w:rPr>
              <w:t>—</w:t>
            </w:r>
          </w:p>
        </w:tc>
        <w:tc>
          <w:tcPr>
            <w:tcW w:type="dxa" w:w="1728"/>
          </w:tcPr>
          <w:p>
            <w:r>
              <w:rPr>
                <w:rFonts w:ascii="Calibri" w:hAnsi="Calibri"/>
                <w:sz w:val="22"/>
              </w:rPr>
              <w:t>~7.2%</w:t>
            </w:r>
          </w:p>
        </w:tc>
        <w:tc>
          <w:tcPr>
            <w:tcW w:type="dxa" w:w="1728"/>
          </w:tcPr>
          <w:p>
            <w:r>
              <w:rPr>
                <w:rFonts w:ascii="Calibri" w:hAnsi="Calibri"/>
                <w:sz w:val="22"/>
              </w:rPr>
              <w:t>Reiterated at Oppenheimer (May 5), BofA (May 13), Wolfe (May 20); no change</w:t>
            </w:r>
          </w:p>
        </w:tc>
      </w:tr>
      <w:tr>
        <w:tc>
          <w:tcPr>
            <w:tcW w:type="dxa" w:w="1728"/>
          </w:tcPr>
          <w:p>
            <w:r>
              <w:rPr>
                <w:rFonts w:ascii="Calibri" w:hAnsi="Calibri"/>
                <w:sz w:val="22"/>
              </w:rPr>
              <w:t>FY2026 Reported Revenue Growth</w:t>
            </w:r>
          </w:p>
        </w:tc>
        <w:tc>
          <w:tcPr>
            <w:tcW w:type="dxa" w:w="1728"/>
          </w:tcPr>
          <w:p>
            <w:r>
              <w:rPr>
                <w:rFonts w:ascii="Calibri" w:hAnsi="Calibri"/>
                <w:sz w:val="22"/>
              </w:rPr>
              <w:t>~9.5% (incl. ~2 pts M&amp;A, ~50 bps FX)</w:t>
            </w:r>
          </w:p>
        </w:tc>
        <w:tc>
          <w:tcPr>
            <w:tcW w:type="dxa" w:w="1728"/>
          </w:tcPr>
          <w:p>
            <w:r>
              <w:rPr>
                <w:rFonts w:ascii="Calibri" w:hAnsi="Calibri"/>
                <w:sz w:val="22"/>
              </w:rPr>
              <w:t>—</w:t>
            </w:r>
          </w:p>
        </w:tc>
        <w:tc>
          <w:tcPr>
            <w:tcW w:type="dxa" w:w="1728"/>
          </w:tcPr>
          <w:p>
            <w:r>
              <w:rPr>
                <w:rFonts w:ascii="Calibri" w:hAnsi="Calibri"/>
                <w:sz w:val="22"/>
              </w:rPr>
              <w:t>~9.5% implied</w:t>
            </w:r>
          </w:p>
        </w:tc>
        <w:tc>
          <w:tcPr>
            <w:tcW w:type="dxa" w:w="1728"/>
          </w:tcPr>
          <w:p>
            <w:r>
              <w:rPr>
                <w:rFonts w:ascii="Calibri" w:hAnsi="Calibri"/>
                <w:sz w:val="22"/>
              </w:rPr>
              <w:t>Unchanged; M&amp;A/FX assumptions reiterated</w:t>
            </w:r>
          </w:p>
        </w:tc>
      </w:tr>
      <w:tr>
        <w:tc>
          <w:tcPr>
            <w:tcW w:type="dxa" w:w="1728"/>
          </w:tcPr>
          <w:p>
            <w:r>
              <w:rPr>
                <w:rFonts w:ascii="Calibri" w:hAnsi="Calibri"/>
                <w:sz w:val="22"/>
              </w:rPr>
              <w:t>FY2026 Adj. EPS</w:t>
            </w:r>
          </w:p>
        </w:tc>
        <w:tc>
          <w:tcPr>
            <w:tcW w:type="dxa" w:w="1728"/>
          </w:tcPr>
          <w:p>
            <w:r>
              <w:rPr>
                <w:rFonts w:ascii="Calibri" w:hAnsi="Calibri"/>
                <w:sz w:val="22"/>
              </w:rPr>
              <w:t>$14.75–$14.95 (~13–15% growth)</w:t>
            </w:r>
          </w:p>
        </w:tc>
        <w:tc>
          <w:tcPr>
            <w:tcW w:type="dxa" w:w="1728"/>
          </w:tcPr>
          <w:p>
            <w:r>
              <w:rPr>
                <w:rFonts w:ascii="Calibri" w:hAnsi="Calibri"/>
                <w:sz w:val="22"/>
              </w:rPr>
              <w:t>—</w:t>
            </w:r>
          </w:p>
        </w:tc>
        <w:tc>
          <w:tcPr>
            <w:tcW w:type="dxa" w:w="1728"/>
          </w:tcPr>
          <w:p>
            <w:r>
              <w:rPr>
                <w:rFonts w:ascii="Calibri" w:hAnsi="Calibri"/>
                <w:sz w:val="22"/>
              </w:rPr>
              <w:t>$14.91</w:t>
            </w:r>
          </w:p>
        </w:tc>
        <w:tc>
          <w:tcPr>
            <w:tcW w:type="dxa" w:w="1728"/>
          </w:tcPr>
          <w:p>
            <w:r>
              <w:rPr>
                <w:rFonts w:ascii="Calibri" w:hAnsi="Calibri"/>
                <w:sz w:val="22"/>
              </w:rPr>
              <w:t>Reiterated at all three post-Q1 conferences; consensus near high end of range</w:t>
            </w:r>
          </w:p>
        </w:tc>
      </w:tr>
      <w:tr>
        <w:tc>
          <w:tcPr>
            <w:tcW w:type="dxa" w:w="1728"/>
          </w:tcPr>
          <w:p>
            <w:r>
              <w:rPr>
                <w:rFonts w:ascii="Calibri" w:hAnsi="Calibri"/>
                <w:sz w:val="22"/>
              </w:rPr>
              <w:t>Q2 2026 Organic Revenue Growth</w:t>
            </w:r>
          </w:p>
        </w:tc>
        <w:tc>
          <w:tcPr>
            <w:tcW w:type="dxa" w:w="1728"/>
          </w:tcPr>
          <w:p>
            <w:r>
              <w:rPr>
                <w:rFonts w:ascii="Calibri" w:hAnsi="Calibri"/>
                <w:sz w:val="22"/>
              </w:rPr>
              <w:t>~5%</w:t>
            </w:r>
          </w:p>
        </w:tc>
        <w:tc>
          <w:tcPr>
            <w:tcW w:type="dxa" w:w="1728"/>
          </w:tcPr>
          <w:p>
            <w:r>
              <w:rPr>
                <w:rFonts w:ascii="Calibri" w:hAnsi="Calibri"/>
                <w:sz w:val="22"/>
              </w:rPr>
              <w:t>—</w:t>
            </w:r>
          </w:p>
        </w:tc>
        <w:tc>
          <w:tcPr>
            <w:tcW w:type="dxa" w:w="1728"/>
          </w:tcPr>
          <w:p>
            <w:r>
              <w:rPr>
                <w:rFonts w:ascii="Calibri" w:hAnsi="Calibri"/>
                <w:sz w:val="22"/>
              </w:rPr>
              <w:t>~5.4%</w:t>
            </w:r>
          </w:p>
        </w:tc>
        <w:tc>
          <w:tcPr>
            <w:tcW w:type="dxa" w:w="1728"/>
          </w:tcPr>
          <w:p>
            <w:r>
              <w:rPr>
                <w:rFonts w:ascii="Calibri" w:hAnsi="Calibri"/>
                <w:sz w:val="22"/>
              </w:rPr>
              <w:t>Consensus slightly above guide; EMEA headwind (~$50M, ~$0.05 EPS) flagged for Q2</w:t>
            </w:r>
          </w:p>
        </w:tc>
      </w:tr>
      <w:tr>
        <w:tc>
          <w:tcPr>
            <w:tcW w:type="dxa" w:w="1728"/>
          </w:tcPr>
          <w:p>
            <w:r>
              <w:rPr>
                <w:rFonts w:ascii="Calibri" w:hAnsi="Calibri"/>
                <w:sz w:val="22"/>
              </w:rPr>
              <w:t>Q2 2026 Adj. EPS</w:t>
            </w:r>
          </w:p>
        </w:tc>
        <w:tc>
          <w:tcPr>
            <w:tcW w:type="dxa" w:w="1728"/>
          </w:tcPr>
          <w:p>
            <w:r>
              <w:rPr>
                <w:rFonts w:ascii="Calibri" w:hAnsi="Calibri"/>
                <w:sz w:val="22"/>
              </w:rPr>
              <w:t>$4.20–$4.25</w:t>
            </w:r>
          </w:p>
        </w:tc>
        <w:tc>
          <w:tcPr>
            <w:tcW w:type="dxa" w:w="1728"/>
          </w:tcPr>
          <w:p>
            <w:r>
              <w:rPr>
                <w:rFonts w:ascii="Calibri" w:hAnsi="Calibri"/>
                <w:sz w:val="22"/>
              </w:rPr>
              <w:t>—</w:t>
            </w:r>
          </w:p>
        </w:tc>
        <w:tc>
          <w:tcPr>
            <w:tcW w:type="dxa" w:w="1728"/>
          </w:tcPr>
          <w:p>
            <w:r>
              <w:rPr>
                <w:rFonts w:ascii="Calibri" w:hAnsi="Calibri"/>
                <w:sz w:val="22"/>
              </w:rPr>
              <w:t>$4.26</w:t>
            </w:r>
          </w:p>
        </w:tc>
        <w:tc>
          <w:tcPr>
            <w:tcW w:type="dxa" w:w="1728"/>
          </w:tcPr>
          <w:p>
            <w:r>
              <w:rPr>
                <w:rFonts w:ascii="Calibri" w:hAnsi="Calibri"/>
                <w:sz w:val="22"/>
              </w:rPr>
              <w:t>Consensus $0.01 above high end of range; thin cushion on EPS</w:t>
            </w:r>
          </w:p>
        </w:tc>
      </w:tr>
      <w:tr>
        <w:tc>
          <w:tcPr>
            <w:tcW w:type="dxa" w:w="1728"/>
          </w:tcPr>
          <w:p>
            <w:r>
              <w:rPr>
                <w:rFonts w:ascii="Calibri" w:hAnsi="Calibri"/>
                <w:sz w:val="22"/>
              </w:rPr>
              <w:t>FY2026 Enterprise Pricing</w:t>
            </w:r>
          </w:p>
        </w:tc>
        <w:tc>
          <w:tcPr>
            <w:tcW w:type="dxa" w:w="1728"/>
          </w:tcPr>
          <w:p>
            <w:r>
              <w:rPr>
                <w:rFonts w:ascii="Calibri" w:hAnsi="Calibri"/>
                <w:sz w:val="22"/>
              </w:rPr>
              <w:t>~2 pts (raised from ~1.5 pts in Jan)</w:t>
            </w:r>
          </w:p>
        </w:tc>
        <w:tc>
          <w:tcPr>
            <w:tcW w:type="dxa" w:w="1728"/>
          </w:tcPr>
          <w:p>
            <w:r>
              <w:rPr>
                <w:rFonts w:ascii="Calibri" w:hAnsi="Calibri"/>
                <w:sz w:val="22"/>
              </w:rPr>
              <w:t>—</w:t>
            </w:r>
          </w:p>
        </w:tc>
        <w:tc>
          <w:tcPr>
            <w:tcW w:type="dxa" w:w="1728"/>
          </w:tcPr>
          <w:p>
            <w:r>
              <w:rPr>
                <w:rFonts w:ascii="Calibri" w:hAnsi="Calibri"/>
                <w:sz w:val="22"/>
              </w:rPr>
              <w:t>N/A (not separately tracked)</w:t>
            </w:r>
          </w:p>
        </w:tc>
        <w:tc>
          <w:tcPr>
            <w:tcW w:type="dxa" w:w="1728"/>
          </w:tcPr>
          <w:p>
            <w:r>
              <w:rPr>
                <w:rFonts w:ascii="Calibri" w:hAnsi="Calibri"/>
                <w:sz w:val="22"/>
              </w:rPr>
              <w:t>↑ Drifted higher at conferences; residential price increase (~5% announced, ~2 pts realized) effective April 1</w:t>
            </w:r>
          </w:p>
        </w:tc>
      </w:tr>
      <w:tr>
        <w:tc>
          <w:tcPr>
            <w:tcW w:type="dxa" w:w="1728"/>
          </w:tcPr>
          <w:p>
            <w:r>
              <w:rPr>
                <w:rFonts w:ascii="Calibri" w:hAnsi="Calibri"/>
                <w:sz w:val="22"/>
              </w:rPr>
              <w:t>FY2026 Residential Revenue</w:t>
            </w:r>
          </w:p>
        </w:tc>
        <w:tc>
          <w:tcPr>
            <w:tcW w:type="dxa" w:w="1728"/>
          </w:tcPr>
          <w:p>
            <w:r>
              <w:rPr>
                <w:rFonts w:ascii="Calibri" w:hAnsi="Calibri"/>
                <w:sz w:val="22"/>
              </w:rPr>
              <w:t>~Flat (improved from flat-to-down 5% in Jan)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Improved at Q1 print; reiterated at conferences; Q2 expected flattish, H2 growth</w:t>
            </w:r>
          </w:p>
        </w:tc>
      </w:tr>
      <w:tr>
        <w:tc>
          <w:tcPr>
            <w:tcW w:type="dxa" w:w="1728"/>
          </w:tcPr>
          <w:p>
            <w:r>
              <w:rPr>
                <w:rFonts w:ascii="Calibri" w:hAnsi="Calibri"/>
                <w:sz w:val="22"/>
              </w:rPr>
              <w:t>FY2026 Transport Revenue</w:t>
            </w:r>
          </w:p>
        </w:tc>
        <w:tc>
          <w:tcPr>
            <w:tcW w:type="dxa" w:w="1728"/>
          </w:tcPr>
          <w:p>
            <w:r>
              <w:rPr>
                <w:rFonts w:ascii="Calibri" w:hAnsi="Calibri"/>
                <w:sz w:val="22"/>
              </w:rPr>
              <w:t>~Flat (vs. ACT mid-single-digit decline forecast)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Q2 guided down ~mid-teens (timing of large deliveries); H2 expected up; reiterated at conferences</w:t>
            </w:r>
          </w:p>
        </w:tc>
      </w:tr>
      <w:tr>
        <w:tc>
          <w:tcPr>
            <w:tcW w:type="dxa" w:w="1728"/>
          </w:tcPr>
          <w:p>
            <w:r>
              <w:rPr>
                <w:rFonts w:ascii="Calibri" w:hAnsi="Calibri"/>
                <w:sz w:val="22"/>
              </w:rPr>
              <w:t>FY2026 CapEx</w:t>
            </w:r>
          </w:p>
        </w:tc>
        <w:tc>
          <w:tcPr>
            <w:tcW w:type="dxa" w:w="1728"/>
          </w:tcPr>
          <w:p>
            <w:r>
              <w:rPr>
                <w:rFonts w:ascii="Calibri" w:hAnsi="Calibri"/>
                <w:sz w:val="22"/>
              </w:rPr>
              <w:t>2–3% of revenue (raised from 1–2%)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driven by Stellar Energy (FL expansion + new TX site) and Applied capacity</w:t>
            </w:r>
          </w:p>
        </w:tc>
      </w:tr>
      <w:tr>
        <w:tc>
          <w:tcPr>
            <w:tcW w:type="dxa" w:w="1728"/>
          </w:tcPr>
          <w:p>
            <w:r>
              <w:rPr>
                <w:rFonts w:ascii="Calibri" w:hAnsi="Calibri"/>
                <w:sz w:val="22"/>
              </w:rPr>
              <w:t>FY2026 Organic Leverage</w:t>
            </w:r>
          </w:p>
        </w:tc>
        <w:tc>
          <w:tcPr>
            <w:tcW w:type="dxa" w:w="1728"/>
          </w:tcPr>
          <w:p>
            <w:r>
              <w:rPr>
                <w:rFonts w:ascii="Calibri" w:hAnsi="Calibri"/>
                <w:sz w:val="22"/>
              </w:rPr>
              <w:t>25%+ (Q2 mid-20s; H2 mid-to-high 20s)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at all conferences; M&amp;A/FX ~700 bps headwind to reported leverage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Q2 EPS consensus has moved only +$0.01 and Q2 revenue consensus only +$0.01B over 12 weeks, suggesting the Street is tracking guidance closely with minimal revision risk in either direction. </w:t>
      </w:r>
      <w:r>
        <w:rPr>
          <w:rFonts w:ascii="Calibri" w:hAnsi="Calibri"/>
          <w:b/>
          <w:color w:val="525866"/>
          <w:sz w:val="22"/>
        </w:rPr>
        <w:t>FY2026 estimates sit near the high end of management's guidance range</w:t>
      </w:r>
      <w:r>
        <w:rPr>
          <w:rFonts w:ascii="Calibri" w:hAnsi="Calibri"/>
          <w:color w:val="525866"/>
          <w:sz w:val="22"/>
        </w:rPr>
        <w:t>, implying the market is already pricing in a modest beat-and-raise; a second consecutive guidance raise would be the catalyst for re-rating.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Estimate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30)</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$4.25</w:t>
            </w:r>
          </w:p>
        </w:tc>
        <w:tc>
          <w:tcPr>
            <w:tcW w:type="dxa" w:w="1080"/>
          </w:tcPr>
          <w:p>
            <w:r>
              <w:rPr>
                <w:rFonts w:ascii="Calibri" w:hAnsi="Calibri"/>
                <w:sz w:val="22"/>
              </w:rPr>
              <w:t>$4.26</w:t>
            </w:r>
          </w:p>
        </w:tc>
        <w:tc>
          <w:tcPr>
            <w:tcW w:type="dxa" w:w="1080"/>
          </w:tcPr>
          <w:p>
            <w:r>
              <w:rPr>
                <w:rFonts w:ascii="Calibri" w:hAnsi="Calibri"/>
                <w:sz w:val="22"/>
              </w:rPr>
              <w:t>+0.2%</w:t>
            </w:r>
          </w:p>
        </w:tc>
        <w:tc>
          <w:tcPr>
            <w:tcW w:type="dxa" w:w="1080"/>
          </w:tcPr>
          <w:p>
            <w:r>
              <w:rPr>
                <w:rFonts w:ascii="Calibri" w:hAnsi="Calibri"/>
                <w:sz w:val="22"/>
              </w:rPr>
              <w:t>$4.20–$4.25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r>
        <w:tc>
          <w:tcPr>
            <w:tcW w:type="dxa" w:w="1080"/>
          </w:tcPr>
          <w:p>
            <w:r>
              <w:rPr>
                <w:rFonts w:ascii="Calibri" w:hAnsi="Calibri"/>
                <w:sz w:val="22"/>
              </w:rPr>
              <w:t>Net Revenue — Q2 2026</w:t>
            </w:r>
          </w:p>
        </w:tc>
        <w:tc>
          <w:tcPr>
            <w:tcW w:type="dxa" w:w="1080"/>
          </w:tcPr>
          <w:p>
            <w:r>
              <w:rPr>
                <w:rFonts w:ascii="Calibri" w:hAnsi="Calibri"/>
                <w:sz w:val="22"/>
              </w:rPr>
              <w:t>$6.20B</w:t>
            </w:r>
          </w:p>
        </w:tc>
        <w:tc>
          <w:tcPr>
            <w:tcW w:type="dxa" w:w="1080"/>
          </w:tcPr>
          <w:p>
            <w:r>
              <w:rPr>
                <w:rFonts w:ascii="Calibri" w:hAnsi="Calibri"/>
                <w:sz w:val="22"/>
              </w:rPr>
              <w:t>$6.21B</w:t>
            </w:r>
          </w:p>
        </w:tc>
        <w:tc>
          <w:tcPr>
            <w:tcW w:type="dxa" w:w="1080"/>
          </w:tcPr>
          <w:p>
            <w:r>
              <w:rPr>
                <w:rFonts w:ascii="Calibri" w:hAnsi="Calibri"/>
                <w:sz w:val="22"/>
              </w:rPr>
              <w:t>+0.2%</w:t>
            </w:r>
          </w:p>
        </w:tc>
        <w:tc>
          <w:tcPr>
            <w:tcW w:type="dxa" w:w="1080"/>
          </w:tcPr>
          <w:p>
            <w:r>
              <w:rPr>
                <w:rFonts w:ascii="Calibri" w:hAnsi="Calibri"/>
                <w:sz w:val="22"/>
              </w:rPr>
              <w:t>~5%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Slightly above guide</w:t>
            </w:r>
          </w:p>
        </w:tc>
      </w:tr>
      <w:tr>
        <w:tc>
          <w:tcPr>
            <w:tcW w:type="dxa" w:w="1080"/>
          </w:tcPr>
          <w:p>
            <w:r>
              <w:rPr>
                <w:rFonts w:ascii="Calibri" w:hAnsi="Calibri"/>
                <w:sz w:val="22"/>
              </w:rPr>
              <w:t>Adj. EPS — FY2026</w:t>
            </w:r>
          </w:p>
        </w:tc>
        <w:tc>
          <w:tcPr>
            <w:tcW w:type="dxa" w:w="1080"/>
          </w:tcPr>
          <w:p>
            <w:r>
              <w:rPr>
                <w:rFonts w:ascii="Calibri" w:hAnsi="Calibri"/>
                <w:sz w:val="22"/>
              </w:rPr>
              <w:t>$14.90</w:t>
            </w:r>
          </w:p>
        </w:tc>
        <w:tc>
          <w:tcPr>
            <w:tcW w:type="dxa" w:w="1080"/>
          </w:tcPr>
          <w:p>
            <w:r>
              <w:rPr>
                <w:rFonts w:ascii="Calibri" w:hAnsi="Calibri"/>
                <w:sz w:val="22"/>
              </w:rPr>
              <w:t>$14.91</w:t>
            </w:r>
          </w:p>
        </w:tc>
        <w:tc>
          <w:tcPr>
            <w:tcW w:type="dxa" w:w="1080"/>
          </w:tcPr>
          <w:p>
            <w:r>
              <w:rPr>
                <w:rFonts w:ascii="Calibri" w:hAnsi="Calibri"/>
                <w:sz w:val="22"/>
              </w:rPr>
              <w:t>+0.1%</w:t>
            </w:r>
          </w:p>
        </w:tc>
        <w:tc>
          <w:tcPr>
            <w:tcW w:type="dxa" w:w="1080"/>
          </w:tcPr>
          <w:p>
            <w:r>
              <w:rPr>
                <w:rFonts w:ascii="Calibri" w:hAnsi="Calibri"/>
                <w:sz w:val="22"/>
              </w:rPr>
              <w:t>$14.75–$14.95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high end of range (+$0.04 vs. midpoint)</w:t>
            </w:r>
          </w:p>
        </w:tc>
      </w:tr>
      <w:tr>
        <w:tc>
          <w:tcPr>
            <w:tcW w:type="dxa" w:w="1080"/>
          </w:tcPr>
          <w:p>
            <w:r>
              <w:rPr>
                <w:rFonts w:ascii="Calibri" w:hAnsi="Calibri"/>
                <w:sz w:val="22"/>
              </w:rPr>
              <w:t>Net Revenue — FY2026</w:t>
            </w:r>
          </w:p>
        </w:tc>
        <w:tc>
          <w:tcPr>
            <w:tcW w:type="dxa" w:w="1080"/>
          </w:tcPr>
          <w:p>
            <w:r>
              <w:rPr>
                <w:rFonts w:ascii="Calibri" w:hAnsi="Calibri"/>
                <w:sz w:val="22"/>
              </w:rPr>
              <w:t>$23.38B</w:t>
            </w:r>
          </w:p>
        </w:tc>
        <w:tc>
          <w:tcPr>
            <w:tcW w:type="dxa" w:w="1080"/>
          </w:tcPr>
          <w:p>
            <w:r>
              <w:rPr>
                <w:rFonts w:ascii="Calibri" w:hAnsi="Calibri"/>
                <w:sz w:val="22"/>
              </w:rPr>
              <w:t>$23.39B</w:t>
            </w:r>
          </w:p>
        </w:tc>
        <w:tc>
          <w:tcPr>
            <w:tcW w:type="dxa" w:w="1080"/>
          </w:tcPr>
          <w:p>
            <w:r>
              <w:rPr>
                <w:rFonts w:ascii="Calibri" w:hAnsi="Calibri"/>
                <w:sz w:val="22"/>
              </w:rPr>
              <w:t>+0.1%</w:t>
            </w:r>
          </w:p>
        </w:tc>
        <w:tc>
          <w:tcPr>
            <w:tcW w:type="dxa" w:w="1080"/>
          </w:tcPr>
          <w:p>
            <w:r>
              <w:rPr>
                <w:rFonts w:ascii="Calibri" w:hAnsi="Calibri"/>
                <w:sz w:val="22"/>
              </w:rPr>
              <w:t>~9.5% reported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Broadly in line with guide</w:t>
            </w:r>
          </w:p>
        </w:tc>
      </w:tr>
      <w:tr>
        <w:tc>
          <w:tcPr>
            <w:tcW w:type="dxa" w:w="1080"/>
          </w:tcPr>
          <w:p>
            <w:r>
              <w:rPr>
                <w:rFonts w:ascii="Calibri" w:hAnsi="Calibri"/>
                <w:sz w:val="22"/>
              </w:rPr>
              <w:t>Adj. EPS — FY2027</w:t>
            </w:r>
          </w:p>
        </w:tc>
        <w:tc>
          <w:tcPr>
            <w:tcW w:type="dxa" w:w="1080"/>
          </w:tcPr>
          <w:p>
            <w:r>
              <w:rPr>
                <w:rFonts w:ascii="Calibri" w:hAnsi="Calibri"/>
                <w:sz w:val="22"/>
              </w:rPr>
              <w:t>$16.87</w:t>
            </w:r>
          </w:p>
        </w:tc>
        <w:tc>
          <w:tcPr>
            <w:tcW w:type="dxa" w:w="1080"/>
          </w:tcPr>
          <w:p>
            <w:r>
              <w:rPr>
                <w:rFonts w:ascii="Calibri" w:hAnsi="Calibri"/>
                <w:sz w:val="22"/>
              </w:rPr>
              <w:t>$17.04</w:t>
            </w:r>
          </w:p>
        </w:tc>
        <w:tc>
          <w:tcPr>
            <w:tcW w:type="dxa" w:w="1080"/>
          </w:tcPr>
          <w:p>
            <w:r>
              <w:rPr>
                <w:rFonts w:ascii="Calibri" w:hAnsi="Calibri"/>
                <w:sz w:val="22"/>
              </w:rPr>
              <w:t>+1.0%</w:t>
            </w:r>
          </w:p>
        </w:tc>
        <w:tc>
          <w:tcPr>
            <w:tcW w:type="dxa" w:w="1080"/>
          </w:tcPr>
          <w:p>
            <w:r>
              <w:rPr>
                <w:rFonts w:ascii="Calibri" w:hAnsi="Calibri"/>
                <w:sz w:val="22"/>
              </w:rPr>
              <w:t>No FY2027 guidance provided</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Revenue — FY2027</w:t>
            </w:r>
          </w:p>
        </w:tc>
        <w:tc>
          <w:tcPr>
            <w:tcW w:type="dxa" w:w="1080"/>
          </w:tcPr>
          <w:p>
            <w:r>
              <w:rPr>
                <w:rFonts w:ascii="Calibri" w:hAnsi="Calibri"/>
                <w:sz w:val="22"/>
              </w:rPr>
              <w:t>$25.21B</w:t>
            </w:r>
          </w:p>
        </w:tc>
        <w:tc>
          <w:tcPr>
            <w:tcW w:type="dxa" w:w="1080"/>
          </w:tcPr>
          <w:p>
            <w:r>
              <w:rPr>
                <w:rFonts w:ascii="Calibri" w:hAnsi="Calibri"/>
                <w:sz w:val="22"/>
              </w:rPr>
              <w:t>$25.35B</w:t>
            </w:r>
          </w:p>
        </w:tc>
        <w:tc>
          <w:tcPr>
            <w:tcW w:type="dxa" w:w="1080"/>
          </w:tcPr>
          <w:p>
            <w:r>
              <w:rPr>
                <w:rFonts w:ascii="Calibri" w:hAnsi="Calibri"/>
                <w:sz w:val="22"/>
              </w:rPr>
              <w:t>+0.6%</w:t>
            </w:r>
          </w:p>
        </w:tc>
        <w:tc>
          <w:tcPr>
            <w:tcW w:type="dxa" w:w="1080"/>
          </w:tcPr>
          <w:p>
            <w:r>
              <w:rPr>
                <w:rFonts w:ascii="Calibri" w:hAnsi="Calibri"/>
                <w:sz w:val="22"/>
              </w:rPr>
              <w:t>No FY2027 guidance provided</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near-zero estimate drift since the Q1 print is notable: both Q2 and FY2026 EPS and revenue estimates have moved less than 0.2% in 12 weeks, indicating the Street is anchored to management's guidance with high conviction. FY2027 estimates have drifted modestly higher (+1.0% EPS, +0.6% revenue), reflecting growing confidence in the multi-year backlog conversion story. The gap between current consensus and the high end of FY2026 EPS guidance ($14.91 vs. $14.95) is thin — a second guidance raise at Q2 would be the primary re-rating catalyst.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TT has underperformed XLI by ~10 percentage points since the Q1 print, driven almost entirely by </w:t>
      </w:r>
      <w:r>
        <w:rPr>
          <w:rFonts w:ascii="Calibri" w:hAnsi="Calibri"/>
          <w:b/>
          <w:color w:val="525866"/>
          <w:sz w:val="22"/>
        </w:rPr>
        <w:t>multiple compression</w:t>
      </w:r>
      <w:r>
        <w:rPr>
          <w:rFonts w:ascii="Calibri" w:hAnsi="Calibri"/>
          <w:color w:val="525866"/>
          <w:sz w:val="22"/>
        </w:rPr>
        <w:t xml:space="preserve"> (NTM EV/EBITDA contracted from ~22.5x to ~21.0x) rather than estimate cuts — a pattern that suggests the stock's weakness is sentiment/valuation-driven, not fundamental, and creates a more attractive setup into Q2 earnings if management delivers the expected H2 acceleration narrative.</w:t>
      </w:r>
    </w:p>
    <w:p>
      <w:r>
        <w:rPr>
          <w:rFonts w:ascii="Calibri" w:hAnsi="Calibri"/>
          <w:b/>
          <w:color w:val="525866"/>
          <w:sz w:val="22"/>
        </w:rPr>
        <w:t xml:space="preserve">Sector ETF used: </w:t>
      </w:r>
      <w:r>
        <w:rPr>
          <w:rFonts w:ascii="Calibri" w:hAnsi="Calibri"/>
          <w:color w:val="525866"/>
          <w:sz w:val="22"/>
        </w:rPr>
        <w:t>XLI (Industrial Select Sector SPDR ETF) — appropriate for TT's sub-sector as a large-cap diversified industrial with HVAC, building solutions, and transport refrigeration exposure. TT is a top-10 XLI holding.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Period</w:t>
            </w:r>
          </w:p>
        </w:tc>
        <w:tc>
          <w:tcPr>
            <w:tcW w:type="dxa" w:w="1440"/>
            <w:shd w:val="clear" w:color="auto" w:fill="3B4259"/>
          </w:tcPr>
          <w:p>
            <w:r>
              <w:rPr>
                <w:rFonts w:ascii="Calibri" w:hAnsi="Calibri"/>
                <w:b/>
                <w:color w:val="FFFFFF"/>
                <w:sz w:val="22"/>
              </w:rPr>
              <w:t>TT Price Return</w:t>
            </w:r>
          </w:p>
        </w:tc>
        <w:tc>
          <w:tcPr>
            <w:tcW w:type="dxa" w:w="1440"/>
            <w:shd w:val="clear" w:color="auto" w:fill="3B4259"/>
          </w:tcPr>
          <w:p>
            <w:r>
              <w:rPr>
                <w:rFonts w:ascii="Calibri" w:hAnsi="Calibri"/>
                <w:b/>
                <w:color w:val="FFFFFF"/>
                <w:sz w:val="22"/>
              </w:rPr>
              <w:t>XLI Return</w:t>
            </w:r>
          </w:p>
        </w:tc>
        <w:tc>
          <w:tcPr>
            <w:tcW w:type="dxa" w:w="1440"/>
            <w:shd w:val="clear" w:color="auto" w:fill="3B4259"/>
          </w:tcPr>
          <w:p>
            <w:r>
              <w:rPr>
                <w:rFonts w:ascii="Calibri" w:hAnsi="Calibri"/>
                <w:b/>
                <w:color w:val="FFFFFF"/>
                <w:sz w:val="22"/>
              </w:rPr>
              <w:t>SPY Return</w:t>
            </w:r>
          </w:p>
        </w:tc>
        <w:tc>
          <w:tcPr>
            <w:tcW w:type="dxa" w:w="1440"/>
            <w:shd w:val="clear" w:color="auto" w:fill="3B4259"/>
          </w:tcPr>
          <w:p>
            <w:r>
              <w:rPr>
                <w:rFonts w:ascii="Calibri" w:hAnsi="Calibri"/>
                <w:b/>
                <w:color w:val="FFFFFF"/>
                <w:sz w:val="22"/>
              </w:rPr>
              <w:t>TT vs. XLI</w:t>
            </w:r>
          </w:p>
        </w:tc>
        <w:tc>
          <w:tcPr>
            <w:tcW w:type="dxa" w:w="1440"/>
            <w:shd w:val="clear" w:color="auto" w:fill="3B4259"/>
          </w:tcPr>
          <w:p>
            <w:r>
              <w:rPr>
                <w:rFonts w:ascii="Calibri" w:hAnsi="Calibri"/>
                <w:b/>
                <w:color w:val="FFFFFF"/>
                <w:sz w:val="22"/>
              </w:rPr>
              <w:t>NTM EV/EBITDA (Start → End)</w:t>
            </w:r>
          </w:p>
        </w:tc>
      </w:tr>
      <w:tr>
        <w:tc>
          <w:tcPr>
            <w:tcW w:type="dxa" w:w="1440"/>
          </w:tcPr>
          <w:p>
            <w:r>
              <w:rPr>
                <w:rFonts w:ascii="Calibri" w:hAnsi="Calibri"/>
                <w:sz w:val="22"/>
              </w:rPr>
              <w:t>Since Q1 Print (Apr 30 → Jul 29)</w:t>
            </w:r>
          </w:p>
        </w:tc>
        <w:tc>
          <w:tcPr>
            <w:tcW w:type="dxa" w:w="1440"/>
          </w:tcPr>
          <w:p>
            <w:r>
              <w:rPr>
                <w:rFonts w:ascii="Calibri" w:hAnsi="Calibri"/>
                <w:b/>
                <w:color w:val="E5484D"/>
                <w:sz w:val="22"/>
              </w:rPr>
              <w:t>-9.3%</w:t>
            </w:r>
          </w:p>
        </w:tc>
        <w:tc>
          <w:tcPr>
            <w:tcW w:type="dxa" w:w="1440"/>
          </w:tcPr>
          <w:p>
            <w:r>
              <w:rPr>
                <w:rFonts w:ascii="Calibri" w:hAnsi="Calibri"/>
                <w:sz w:val="22"/>
              </w:rPr>
              <w:t>+1.2%</w:t>
            </w:r>
          </w:p>
        </w:tc>
        <w:tc>
          <w:tcPr>
            <w:tcW w:type="dxa" w:w="1440"/>
          </w:tcPr>
          <w:p>
            <w:r>
              <w:rPr>
                <w:rFonts w:ascii="Calibri" w:hAnsi="Calibri"/>
                <w:sz w:val="22"/>
              </w:rPr>
              <w:t>+1.5%</w:t>
            </w:r>
          </w:p>
        </w:tc>
        <w:tc>
          <w:tcPr>
            <w:tcW w:type="dxa" w:w="1440"/>
          </w:tcPr>
          <w:p>
            <w:r>
              <w:rPr>
                <w:rFonts w:ascii="Calibri" w:hAnsi="Calibri"/>
                <w:b/>
                <w:color w:val="E5484D"/>
                <w:sz w:val="22"/>
              </w:rPr>
              <w:t>-10.5 pp</w:t>
            </w:r>
          </w:p>
        </w:tc>
        <w:tc>
          <w:tcPr>
            <w:tcW w:type="dxa" w:w="1440"/>
          </w:tcPr>
          <w:p>
            <w:r>
              <w:rPr>
                <w:rFonts w:ascii="Calibri" w:hAnsi="Calibri"/>
                <w:sz w:val="22"/>
              </w:rPr>
              <w:t>~22.5x → ~21.0x (multiple compression)</w:t>
            </w:r>
          </w:p>
        </w:tc>
      </w:tr>
      <w:tr>
        <w:tc>
          <w:tcPr>
            <w:tcW w:type="dxa" w:w="1440"/>
          </w:tcPr>
          <w:p>
            <w:r>
              <w:rPr>
                <w:rFonts w:ascii="Calibri" w:hAnsi="Calibri"/>
                <w:sz w:val="22"/>
              </w:rPr>
              <w:t>1 Month (Jun 29 → Jul 29)</w:t>
            </w:r>
          </w:p>
        </w:tc>
        <w:tc>
          <w:tcPr>
            <w:tcW w:type="dxa" w:w="1440"/>
          </w:tcPr>
          <w:p>
            <w:r>
              <w:rPr>
                <w:rFonts w:ascii="Calibri" w:hAnsi="Calibri"/>
                <w:b/>
                <w:color w:val="E5484D"/>
                <w:sz w:val="22"/>
              </w:rPr>
              <w:t>-9.0%</w:t>
            </w:r>
          </w:p>
        </w:tc>
        <w:tc>
          <w:tcPr>
            <w:tcW w:type="dxa" w:w="1440"/>
          </w:tcPr>
          <w:p>
            <w:r>
              <w:rPr>
                <w:rFonts w:ascii="Calibri" w:hAnsi="Calibri"/>
                <w:sz w:val="22"/>
              </w:rPr>
              <w:t>-4.6%</w:t>
            </w:r>
          </w:p>
        </w:tc>
        <w:tc>
          <w:tcPr>
            <w:tcW w:type="dxa" w:w="1440"/>
          </w:tcPr>
          <w:p>
            <w:r>
              <w:rPr>
                <w:rFonts w:ascii="Calibri" w:hAnsi="Calibri"/>
                <w:sz w:val="22"/>
              </w:rPr>
              <w:t>-2.3%</w:t>
            </w:r>
          </w:p>
        </w:tc>
        <w:tc>
          <w:tcPr>
            <w:tcW w:type="dxa" w:w="1440"/>
          </w:tcPr>
          <w:p>
            <w:r>
              <w:rPr>
                <w:rFonts w:ascii="Calibri" w:hAnsi="Calibri"/>
                <w:b/>
                <w:color w:val="E5484D"/>
                <w:sz w:val="22"/>
              </w:rPr>
              <w:t>-4.4 pp</w:t>
            </w:r>
          </w:p>
        </w:tc>
        <w:tc>
          <w:tcPr>
            <w:tcW w:type="dxa" w:w="1440"/>
          </w:tcPr>
          <w:p>
            <w:r>
              <w:rPr>
                <w:rFonts w:ascii="Calibri" w:hAnsi="Calibri"/>
                <w:sz w:val="22"/>
              </w:rPr>
              <w:t>~22.5x → ~21.0x</w:t>
            </w:r>
          </w:p>
        </w:tc>
      </w:tr>
      <w:tr>
        <w:tc>
          <w:tcPr>
            <w:tcW w:type="dxa" w:w="1440"/>
          </w:tcPr>
          <w:p>
            <w:r>
              <w:rPr>
                <w:rFonts w:ascii="Calibri" w:hAnsi="Calibri"/>
                <w:sz w:val="22"/>
              </w:rPr>
              <w:t>6 Month (Jan 29 → Jul 29)</w:t>
            </w:r>
          </w:p>
        </w:tc>
        <w:tc>
          <w:tcPr>
            <w:tcW w:type="dxa" w:w="1440"/>
          </w:tcPr>
          <w:p>
            <w:r>
              <w:rPr>
                <w:rFonts w:ascii="Calibri" w:hAnsi="Calibri"/>
                <w:b/>
                <w:color w:val="30A46C"/>
                <w:sz w:val="22"/>
              </w:rPr>
              <w:t>+13.9%</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~18.9x → ~21.0x (+11.2%)</w:t>
            </w:r>
          </w:p>
        </w:tc>
      </w:tr>
    </w:tbl>
    <w:p>
      <w:r>
        <w:rPr>
          <w:rFonts w:ascii="Calibri" w:hAnsi="Calibri"/>
          <w:color w:val="525866"/>
          <w:sz w:val="22"/>
        </w:rPr>
        <w:t>Key events since Q1 print (April 30, 2026):</w:t>
      </w:r>
    </w:p>
    <w:p>
      <w:pPr>
        <w:pStyle w:val="ListBullet"/>
        <w:ind w:left="360" w:hanging="360"/>
      </w:pPr>
      <w:r>
        <w:rPr>
          <w:rFonts w:ascii="Calibri" w:hAnsi="Calibri"/>
          <w:b/>
          <w:color w:val="525866"/>
          <w:sz w:val="22"/>
        </w:rPr>
        <w:t>May 5–20:</w:t>
      </w:r>
      <w:r>
        <w:rPr>
          <w:rFonts w:ascii="Calibri" w:hAnsi="Calibri"/>
          <w:color w:val="525866"/>
          <w:sz w:val="22"/>
        </w:rPr>
        <w:t xml:space="preserve"> Three investor conferences (Oppenheimer, BofA, Wolfe) — all constructive; no guidance change; stock drifted lower despite positive tone.</w:t>
      </w:r>
    </w:p>
    <w:p>
      <w:pPr>
        <w:pStyle w:val="ListBullet"/>
        <w:ind w:left="360" w:hanging="360"/>
      </w:pPr>
      <w:r>
        <w:rPr>
          <w:rFonts w:ascii="Calibri" w:hAnsi="Calibri"/>
          <w:b/>
          <w:color w:val="525866"/>
          <w:sz w:val="22"/>
        </w:rPr>
        <w:t>May 20:</w:t>
      </w:r>
      <w:r>
        <w:rPr>
          <w:rFonts w:ascii="Calibri" w:hAnsi="Calibri"/>
          <w:color w:val="525866"/>
          <w:sz w:val="22"/>
        </w:rPr>
        <w:t xml:space="preserve"> BrainBox AI Global AI Lab and Showroom opened in Montréal — strategic signal on digital/AI services investment.</w:t>
      </w:r>
    </w:p>
    <w:p>
      <w:pPr>
        <w:pStyle w:val="ListBullet"/>
        <w:ind w:left="360" w:hanging="360"/>
      </w:pPr>
      <w:r>
        <w:rPr>
          <w:rFonts w:ascii="Calibri" w:hAnsi="Calibri"/>
          <w:b/>
          <w:color w:val="525866"/>
          <w:sz w:val="22"/>
        </w:rPr>
        <w:t>Jun 4:</w:t>
      </w:r>
      <w:r>
        <w:rPr>
          <w:rFonts w:ascii="Calibri" w:hAnsi="Calibri"/>
          <w:color w:val="525866"/>
          <w:sz w:val="22"/>
        </w:rPr>
        <w:t xml:space="preserve"> Annual General Meeting — all directors re-elected; no material governance changes.</w:t>
      </w:r>
    </w:p>
    <w:p>
      <w:pPr>
        <w:pStyle w:val="ListBullet"/>
        <w:ind w:left="360" w:hanging="360"/>
      </w:pPr>
      <w:r>
        <w:rPr>
          <w:rFonts w:ascii="Calibri" w:hAnsi="Calibri"/>
          <w:b/>
          <w:color w:val="525866"/>
          <w:sz w:val="22"/>
        </w:rPr>
        <w:t>Jul 22:</w:t>
      </w:r>
      <w:r>
        <w:rPr>
          <w:rFonts w:ascii="Calibri" w:hAnsi="Calibri"/>
          <w:color w:val="525866"/>
          <w:sz w:val="22"/>
        </w:rPr>
        <w:t xml:space="preserve"> 8-K filed: Global Supply Chain Chief Gary Guo to depart effective August 1; company waived bonus clawback. Stock declined on execution uncertainty concern.</w:t>
      </w:r>
    </w:p>
    <w:p>
      <w:pPr>
        <w:pStyle w:val="ListBullet"/>
        <w:ind w:left="360" w:hanging="360"/>
      </w:pPr>
      <w:r>
        <w:rPr>
          <w:rFonts w:ascii="Calibri" w:hAnsi="Calibri"/>
          <w:b/>
          <w:color w:val="525866"/>
          <w:sz w:val="22"/>
        </w:rPr>
        <w:t>Jul 28–29:</w:t>
      </w:r>
      <w:r>
        <w:rPr>
          <w:rFonts w:ascii="Calibri" w:hAnsi="Calibri"/>
          <w:color w:val="525866"/>
          <w:sz w:val="22"/>
        </w:rPr>
        <w:t xml:space="preserve"> Peers CARR and JCI reported Q2 results — both beat and raised, with CARR commercial HVAC orders +65% and JCI orders +27%; strong positive read-through for TT.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departure of Global Supply Chain Chief Gary Guo (effective August 1)</w:t>
      </w:r>
      <w:r>
        <w:rPr>
          <w:rFonts w:ascii="Calibri" w:hAnsi="Calibri"/>
          <w:color w:val="525866"/>
          <w:sz w:val="22"/>
        </w:rPr>
        <w:t xml:space="preserve"> — a leadership change at a critical juncture as TT ramps Stellar Energy's Texas facility and accelerates Applied backlog conversion; management's commentary on supply chain continuity will be the most closely watched non-financial disclosure at Q2.</w:t>
      </w:r>
    </w:p>
    <w:p>
      <w:pPr>
        <w:pStyle w:val="ListBullet"/>
        <w:ind w:left="360" w:hanging="360"/>
      </w:pPr>
      <w:r>
        <w:rPr>
          <w:rFonts w:ascii="Calibri" w:hAnsi="Calibri"/>
          <w:b/>
          <w:color w:val="525866"/>
          <w:sz w:val="22"/>
        </w:rPr>
        <w:t>Jul 22, 2026 — Gary Guo (SVP &amp; Chief Global Integrated Supply Chain Officer) departure announced (8-K):</w:t>
      </w:r>
      <w:r>
        <w:rPr>
          <w:rFonts w:ascii="Calibri" w:hAnsi="Calibri"/>
          <w:color w:val="525866"/>
          <w:sz w:val="22"/>
        </w:rPr>
        <w:t xml:space="preserve"> Effective August 1, 2026. Company waived clawback of sign-on bonus. Filing explicitly states departure is "not the result of any disagreement with the Company on any matter relating to the Company's operations, policies or practices." </w:t>
      </w:r>
      <w:r>
        <w:rPr>
          <w:rFonts w:ascii="Calibri" w:hAnsi="Calibri"/>
          <w:i/>
          <w:color w:val="525866"/>
          <w:sz w:val="22"/>
        </w:rPr>
        <w:t>Implication:</w:t>
      </w:r>
      <w:r>
        <w:rPr>
          <w:rFonts w:ascii="Calibri" w:hAnsi="Calibri"/>
          <w:color w:val="525866"/>
          <w:sz w:val="22"/>
        </w:rPr>
        <w:t xml:space="preserve"> Timing is sensitive — TT is mid-ramp on Stellar Energy's Fort Worth, TX facility and accelerating Applied chiller deliveries. Investors will want clarity on succession and supply chain continuity. Source: TT 8-K, July 22, 2026.</w:t>
      </w:r>
    </w:p>
    <w:p>
      <w:pPr>
        <w:pStyle w:val="ListBullet"/>
        <w:ind w:left="360" w:hanging="360"/>
      </w:pPr>
      <w:r>
        <w:rPr>
          <w:rFonts w:ascii="Calibri" w:hAnsi="Calibri"/>
          <w:b/>
          <w:color w:val="525866"/>
          <w:sz w:val="22"/>
        </w:rPr>
        <w:t>Jul 28–29, 2026 — CARR and JCI Q2 2026 earnings (direct peers):</w:t>
      </w:r>
      <w:r>
        <w:rPr>
          <w:rFonts w:ascii="Calibri" w:hAnsi="Calibri"/>
          <w:color w:val="525866"/>
          <w:sz w:val="22"/>
        </w:rPr>
        <w:t xml:space="preserve"> CARR reported commercial HVAC orders +65% (data center orders +4x YoY), raised FY2026 EPS guidance to ~$2.90 (from $2.80), and increased data center sales outlook to ~$2B. JCI reported orders +27%, organic revenue +10%, adj. EBIT margin +260 bps to 17%, and record $21B backlog (+32% YoY). Both beat and raised. </w:t>
      </w:r>
      <w:r>
        <w:rPr>
          <w:rFonts w:ascii="Calibri" w:hAnsi="Calibri"/>
          <w:i/>
          <w:color w:val="525866"/>
          <w:sz w:val="22"/>
        </w:rPr>
        <w:t>Implication:</w:t>
      </w:r>
      <w:r>
        <w:rPr>
          <w:rFonts w:ascii="Calibri" w:hAnsi="Calibri"/>
          <w:color w:val="525866"/>
          <w:sz w:val="22"/>
        </w:rPr>
        <w:t xml:space="preserve"> Strongest possible read-through for TT's Applied/data-center demand and margin trajectory heading into Q2 print. Sources: CARR Q2 2026 Earnings Call (July 28, 2026); JCI Q3 FY2026 Earnings Call (July 29, 2026).</w:t>
      </w:r>
    </w:p>
    <w:p>
      <w:pPr>
        <w:pStyle w:val="ListBullet"/>
        <w:ind w:left="360" w:hanging="360"/>
      </w:pPr>
      <w:r>
        <w:rPr>
          <w:rFonts w:ascii="Calibri" w:hAnsi="Calibri"/>
          <w:b/>
          <w:color w:val="525866"/>
          <w:sz w:val="22"/>
        </w:rPr>
        <w:t>Jul 29, 2026 — LII Q2 2026 earnings:</w:t>
      </w:r>
      <w:r>
        <w:rPr>
          <w:rFonts w:ascii="Calibri" w:hAnsi="Calibri"/>
          <w:color w:val="525866"/>
          <w:sz w:val="22"/>
        </w:rPr>
        <w:t xml:space="preserve"> Lennox reported BCS (commercial) revenue +24% (organic +12%), raised full-year BCS guidance to ~20% growth (from 16%). Residential (HCS) revenue -7% with channel inventory "normalized" and no more destocking, but meaningful recovery now pushed to 2027. </w:t>
      </w:r>
      <w:r>
        <w:rPr>
          <w:rFonts w:ascii="Calibri" w:hAnsi="Calibri"/>
          <w:i/>
          <w:color w:val="525866"/>
          <w:sz w:val="22"/>
        </w:rPr>
        <w:t>Implication:</w:t>
      </w:r>
      <w:r>
        <w:rPr>
          <w:rFonts w:ascii="Calibri" w:hAnsi="Calibri"/>
          <w:color w:val="525866"/>
          <w:sz w:val="22"/>
        </w:rPr>
        <w:t xml:space="preserve"> Positive for TT's commercial segment; residential recovery timeline risk for H2 2026. Source: LII Q2 2026 Earnings Call (July 29, 2026).</w:t>
      </w:r>
    </w:p>
    <w:p>
      <w:pPr>
        <w:pStyle w:val="ListBullet"/>
        <w:ind w:left="360" w:hanging="360"/>
      </w:pPr>
      <w:r>
        <w:rPr>
          <w:rFonts w:ascii="Calibri" w:hAnsi="Calibri"/>
          <w:b/>
          <w:color w:val="525866"/>
          <w:sz w:val="22"/>
        </w:rPr>
        <w:t>May 20, 2026 — BrainBox AI Global AI Lab and Showroom opened (Montréal):</w:t>
      </w:r>
      <w:r>
        <w:rPr>
          <w:rFonts w:ascii="Calibri" w:hAnsi="Calibri"/>
          <w:color w:val="525866"/>
          <w:sz w:val="22"/>
        </w:rPr>
        <w:t xml:space="preserve"> Trane Technologies opened its AI Lab, bringing together researchers, software engineers, and data scientists to develop AI-driven HVAC and transport refrigeration solutions. Supported by AWS, IVADO, and Concordia University. </w:t>
      </w:r>
      <w:r>
        <w:rPr>
          <w:rFonts w:ascii="Calibri" w:hAnsi="Calibri"/>
          <w:i/>
          <w:color w:val="525866"/>
          <w:sz w:val="22"/>
        </w:rPr>
        <w:t>Implication:</w:t>
      </w:r>
      <w:r>
        <w:rPr>
          <w:rFonts w:ascii="Calibri" w:hAnsi="Calibri"/>
          <w:color w:val="525866"/>
          <w:sz w:val="22"/>
        </w:rPr>
        <w:t xml:space="preserve"> Reinforces TT's digital/services investment thesis and long-term services CAGR story; not a near-term earnings driver. Source: TT Press Release, May 20, 2026.</w:t>
      </w:r>
    </w:p>
    <w:p>
      <w:pPr>
        <w:pStyle w:val="ListBullet"/>
        <w:ind w:left="360" w:hanging="360"/>
      </w:pPr>
      <w:r>
        <w:rPr>
          <w:rFonts w:ascii="Calibri" w:hAnsi="Calibri"/>
          <w:b/>
          <w:color w:val="525866"/>
          <w:sz w:val="22"/>
        </w:rPr>
        <w:t>Apr 24, 2026 — TT upsized and extended revolving credit facility to $1.5B (8-K):</w:t>
      </w:r>
      <w:r>
        <w:rPr>
          <w:rFonts w:ascii="Calibri" w:hAnsi="Calibri"/>
          <w:color w:val="525866"/>
          <w:sz w:val="22"/>
        </w:rPr>
        <w:t xml:space="preserve"> Provides additional liquidity headroom as CapEx ramps to 2–3% of revenue and M&amp;A pipeline remains active. </w:t>
      </w:r>
      <w:r>
        <w:rPr>
          <w:rFonts w:ascii="Calibri" w:hAnsi="Calibri"/>
          <w:i/>
          <w:color w:val="525866"/>
          <w:sz w:val="22"/>
        </w:rPr>
        <w:t>Implication:</w:t>
      </w:r>
      <w:r>
        <w:rPr>
          <w:rFonts w:ascii="Calibri" w:hAnsi="Calibri"/>
          <w:color w:val="525866"/>
          <w:sz w:val="22"/>
        </w:rPr>
        <w:t xml:space="preserve"> Balance sheet flexibility maintained; no near-term liquidity concern. Source: TT 8-K, April 24, 2026.</w:t>
      </w:r>
    </w:p>
    <w:p>
      <w:pPr>
        <w:pStyle w:val="ListBullet"/>
        <w:ind w:left="360" w:hanging="360"/>
      </w:pPr>
      <w:r>
        <w:rPr>
          <w:rFonts w:ascii="Calibri" w:hAnsi="Calibri"/>
          <w:b/>
          <w:color w:val="525866"/>
          <w:sz w:val="22"/>
        </w:rPr>
        <w:t>Jul 25–29, 2026 — New tariff regime (Section 301, 10–12.5% on 60 trading partners):</w:t>
      </w:r>
      <w:r>
        <w:rPr>
          <w:rFonts w:ascii="Calibri" w:hAnsi="Calibri"/>
          <w:color w:val="525866"/>
          <w:sz w:val="22"/>
        </w:rPr>
        <w:t xml:space="preserve"> Replaced the temporary 10% global tariff that expired July 24 following the Supreme Court's February ruling against IEEPA-based tariffs. </w:t>
      </w:r>
      <w:r>
        <w:rPr>
          <w:rFonts w:ascii="Calibri" w:hAnsi="Calibri"/>
          <w:i/>
          <w:color w:val="525866"/>
          <w:sz w:val="22"/>
        </w:rPr>
        <w:t>Implication:</w:t>
      </w:r>
      <w:r>
        <w:rPr>
          <w:rFonts w:ascii="Calibri" w:hAnsi="Calibri"/>
          <w:color w:val="525866"/>
          <w:sz w:val="22"/>
        </w:rPr>
        <w:t xml:space="preserve"> TT's predominantly U.S. manufacturing footprint (20 of 21 Americas factories in the U.S.) provides structural insulation; management has stated tariff impacts are "baked into the guide." Watch for any updated commentary on component sourcing costs. Source: News Digest, Trade Policy, July 25–29, 2026.</w:t>
      </w:r>
    </w:p>
    <w:p>
      <w:pPr>
        <w:pStyle w:val="ListBullet"/>
        <w:ind w:left="360" w:hanging="360"/>
      </w:pPr>
      <w:r>
        <w:rPr>
          <w:rFonts w:ascii="Calibri" w:hAnsi="Calibri"/>
          <w:b/>
          <w:color w:val="525866"/>
          <w:sz w:val="22"/>
        </w:rPr>
        <w:t>Jul 29, 2026 — CAT downgraded by Baird (neutral from outperform, PT $900 from $1,200):</w:t>
      </w:r>
      <w:r>
        <w:rPr>
          <w:rFonts w:ascii="Calibri" w:hAnsi="Calibri"/>
          <w:color w:val="525866"/>
          <w:sz w:val="22"/>
        </w:rPr>
        <w:t xml:space="preserve"> Baird cited growing state and local government actions targeting data centers as a potential headwind to CAT's orders and backlog. </w:t>
      </w:r>
      <w:r>
        <w:rPr>
          <w:rFonts w:ascii="Calibri" w:hAnsi="Calibri"/>
          <w:i/>
          <w:color w:val="525866"/>
          <w:sz w:val="22"/>
        </w:rPr>
        <w:t>Implication:</w:t>
      </w:r>
      <w:r>
        <w:rPr>
          <w:rFonts w:ascii="Calibri" w:hAnsi="Calibri"/>
          <w:color w:val="525866"/>
          <w:sz w:val="22"/>
        </w:rPr>
        <w:t xml:space="preserve"> Indirect risk flag for TT — if data center construction activity faces regulatory headwinds, it could affect Applied bookings momentum. Not a direct TT read-through but worth monitoring. Source: News Digest, July 29, 2026.</w:t>
      </w:r>
    </w:p>
    <w:p>
      <w:pPr>
        <w:pStyle w:val="ListBullet"/>
        <w:ind w:left="360" w:hanging="360"/>
      </w:pPr>
      <w:r>
        <w:rPr>
          <w:rFonts w:ascii="Calibri" w:hAnsi="Calibri"/>
          <w:b/>
          <w:color w:val="525866"/>
          <w:sz w:val="22"/>
        </w:rPr>
        <w:t>Jun 4, 2026 — Annual General Meeting:</w:t>
      </w:r>
      <w:r>
        <w:rPr>
          <w:rFonts w:ascii="Calibri" w:hAnsi="Calibri"/>
          <w:color w:val="525866"/>
          <w:sz w:val="22"/>
        </w:rPr>
        <w:t xml:space="preserve"> All 11 director nominees elected; executive compensation approved (advisory); PwC reappointed as auditor. Share issuance and treasury share authorities renewed. </w:t>
      </w:r>
      <w:r>
        <w:rPr>
          <w:rFonts w:ascii="Calibri" w:hAnsi="Calibri"/>
          <w:i/>
          <w:color w:val="525866"/>
          <w:sz w:val="22"/>
        </w:rPr>
        <w:t>Implication:</w:t>
      </w:r>
      <w:r>
        <w:rPr>
          <w:rFonts w:ascii="Calibri" w:hAnsi="Calibri"/>
          <w:color w:val="525866"/>
          <w:sz w:val="22"/>
        </w:rPr>
        <w:t xml:space="preserve"> No governance surprises; share repurchase flexibility maintained (~$4.4B remaining authorization). Source: TT 8-K, June 4, 2026.</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earnings is minimal and unremarkable — one small open-market buy by a director and one planned 10b5-1 sale by a Group President. </w:t>
      </w:r>
      <w:r>
        <w:rPr>
          <w:rFonts w:ascii="Calibri" w:hAnsi="Calibri"/>
          <w:b/>
          <w:color w:val="525866"/>
          <w:sz w:val="22"/>
        </w:rPr>
        <w:t>No clustered selling, no unusual transaction sizes, and no discretionary sales by the CEO or CFO</w:t>
      </w:r>
      <w:r>
        <w:rPr>
          <w:rFonts w:ascii="Calibri" w:hAnsi="Calibri"/>
          <w:color w:val="525866"/>
          <w:sz w:val="22"/>
        </w:rPr>
        <w:t>; the absence of insider selling ahead of Q2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John A. Hayes</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~$186K (400 shares via revocable trust)</w:t>
            </w:r>
          </w:p>
        </w:tc>
        <w:tc>
          <w:tcPr>
            <w:tcW w:type="dxa" w:w="1440"/>
          </w:tcPr>
          <w:p>
            <w:r>
              <w:rPr>
                <w:rFonts w:ascii="Calibri" w:hAnsi="Calibri"/>
                <w:sz w:val="22"/>
              </w:rPr>
              <w:t>Mar 5, 2026 (filed Jun 9, 2026)</w:t>
            </w:r>
          </w:p>
        </w:tc>
        <w:tc>
          <w:tcPr>
            <w:tcW w:type="dxa" w:w="1440"/>
          </w:tcPr>
          <w:p>
            <w:r>
              <w:rPr>
                <w:rFonts w:ascii="Calibri" w:hAnsi="Calibri"/>
                <w:sz w:val="22"/>
              </w:rPr>
              <w:t>Indirect ownership (revocable trust); discretionary purchase; filed late (Form 4 filed ~3 months post-transaction). Mildly positive signal.</w:t>
            </w:r>
          </w:p>
        </w:tc>
      </w:tr>
      <w:tr>
        <w:tc>
          <w:tcPr>
            <w:tcW w:type="dxa" w:w="1440"/>
          </w:tcPr>
          <w:p>
            <w:r>
              <w:rPr>
                <w:rFonts w:ascii="Calibri" w:hAnsi="Calibri"/>
                <w:sz w:val="22"/>
              </w:rPr>
              <w:t>Donald E. Simmons</w:t>
            </w:r>
          </w:p>
        </w:tc>
        <w:tc>
          <w:tcPr>
            <w:tcW w:type="dxa" w:w="1440"/>
          </w:tcPr>
          <w:p>
            <w:r>
              <w:rPr>
                <w:rFonts w:ascii="Calibri" w:hAnsi="Calibri"/>
                <w:sz w:val="22"/>
              </w:rPr>
              <w:t>Group President, Americas</w:t>
            </w:r>
          </w:p>
        </w:tc>
        <w:tc>
          <w:tcPr>
            <w:tcW w:type="dxa" w:w="1440"/>
          </w:tcPr>
          <w:p>
            <w:r>
              <w:rPr>
                <w:rFonts w:ascii="Calibri" w:hAnsi="Calibri"/>
                <w:sz w:val="22"/>
              </w:rPr>
              <w:t>10b5-1 Planned Sale</w:t>
            </w:r>
          </w:p>
        </w:tc>
        <w:tc>
          <w:tcPr>
            <w:tcW w:type="dxa" w:w="1440"/>
          </w:tcPr>
          <w:p>
            <w:r>
              <w:rPr>
                <w:rFonts w:ascii="Calibri" w:hAnsi="Calibri"/>
                <w:sz w:val="22"/>
              </w:rPr>
              <w:t>~$2.2M (4,593 shares)</w:t>
            </w:r>
          </w:p>
        </w:tc>
        <w:tc>
          <w:tcPr>
            <w:tcW w:type="dxa" w:w="1440"/>
          </w:tcPr>
          <w:p>
            <w:r>
              <w:rPr>
                <w:rFonts w:ascii="Calibri" w:hAnsi="Calibri"/>
                <w:sz w:val="22"/>
              </w:rPr>
              <w:t>Apr 30, 2026 (filed May 1, 2026)</w:t>
            </w:r>
          </w:p>
        </w:tc>
        <w:tc>
          <w:tcPr>
            <w:tcW w:type="dxa" w:w="1440"/>
          </w:tcPr>
          <w:p>
            <w:r>
              <w:rPr>
                <w:rFonts w:ascii="Calibri" w:hAnsi="Calibri"/>
                <w:sz w:val="22"/>
              </w:rPr>
              <w:t>Pre-planned 10b5-1 sale; executed on Q1 earnings day. Obligation-driven; not a discretionary signal. Retained 3,819 shares post-sale.</w:t>
            </w:r>
          </w:p>
        </w:tc>
      </w:tr>
    </w:tbl>
    <w:p>
      <w:r>
        <w:br w:type="page"/>
      </w:r>
    </w:p>
    <w:p>
      <w:pPr>
        <w:pStyle w:val="Heading2"/>
      </w:pPr>
      <w:r>
        <w:rPr>
          <w:rFonts w:ascii="Calibri" w:hAnsi="Calibri"/>
          <w:b/>
          <w:color w:val="3B4259"/>
          <w:sz w:val="28"/>
        </w:rPr>
        <w:t>8. Peer Commentary Read-Throughs (Last 60 Days)</w:t>
      </w:r>
    </w:p>
    <w:p>
      <w:r>
        <w:rPr>
          <w:rFonts w:ascii="Calibri" w:hAnsi="Calibri"/>
          <w:b/>
          <w:color w:val="525866"/>
          <w:sz w:val="22"/>
        </w:rPr>
        <w:t xml:space="preserve">Key Takeaway: </w:t>
      </w:r>
      <w:r>
        <w:rPr>
          <w:rFonts w:ascii="Calibri" w:hAnsi="Calibri"/>
          <w:color w:val="525866"/>
          <w:sz w:val="22"/>
        </w:rPr>
        <w:t xml:space="preserve">Peer commentary from the last 60 days is overwhelmingly constructive for TT's Q2 setup — CARR and JCI (reporting July 28–29, one day before TT) both delivered strong beats with accelerating commercial HVAC/data-center demand, while LII confirmed residential channel normalization. </w:t>
      </w:r>
      <w:r>
        <w:rPr>
          <w:rFonts w:ascii="Calibri" w:hAnsi="Calibri"/>
          <w:b/>
          <w:color w:val="525866"/>
          <w:sz w:val="22"/>
        </w:rPr>
        <w:t>The read-through from CARR's +65% commercial HVAC orders and JCI's record $21B backlog is the single most important pre-print data point for TT.</w:t>
      </w:r>
    </w:p>
    <w:p>
      <w:r>
        <w:rPr>
          <w:rFonts w:ascii="Calibri" w:hAnsi="Calibri"/>
          <w:b/>
          <w:i/>
          <w:color w:val="525866"/>
          <w:sz w:val="22"/>
        </w:rPr>
        <w:t xml:space="preserve">Methodology note: </w:t>
      </w:r>
      <w:r>
        <w:rPr>
          <w:rFonts w:ascii="Calibri" w:hAnsi="Calibri"/>
          <w:i/>
          <w:color w:val="525866"/>
          <w:sz w:val="22"/>
        </w:rPr>
        <w:t>Only commentary from after TT's Q1 2026 earnings (April 30, 2026) is included below. Peer Q1 2026 results commentary (i.e., peers discussing their own Q1 results) is excluded unless it contains explicit forward-looking statements about Q2 2026 or H2 2026 conditions. All commentary is sourced from earnings calls, earnings releases, and investor conferences occurring between May 1 and July 29, 2026.</w:t>
      </w:r>
    </w:p>
    <w:p>
      <w:pPr>
        <w:pStyle w:val="Heading3"/>
      </w:pPr>
      <w:r>
        <w:rPr>
          <w:rFonts w:ascii="Calibri" w:hAnsi="Calibri"/>
          <w:b/>
          <w:color w:val="3B4259"/>
          <w:sz w:val="24"/>
        </w:rPr>
        <w:t>CARR — Carrier Global (Tier 1: Highest Read-Through)</w:t>
      </w:r>
    </w:p>
    <w:p>
      <w:r>
        <w:rPr>
          <w:rFonts w:ascii="Calibri" w:hAnsi="Calibri"/>
          <w:b/>
          <w:color w:val="525866"/>
          <w:sz w:val="22"/>
        </w:rPr>
        <w:t xml:space="preserve">Source: CARR Q2 2026 Earnings Call, July 28, 2026. </w:t>
      </w:r>
      <w:r>
        <w:rPr>
          <w:rFonts w:ascii="Calibri" w:hAnsi="Calibri"/>
          <w:color w:val="525866"/>
          <w:sz w:val="22"/>
        </w:rPr>
        <w:t>Relevance: Near-perfect end-market overlap — commercial HVAC (chillers, applied), residential HVAC, transport refrigeration (Thermo King ↔ Carrier Transport), data center liquid cooling, building management systems, aftermarket services. CARR is the single most direct competitive read-through for TT.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CARR Commentary (Q2 2026 Earnings, Jul 28)</w:t>
            </w:r>
          </w:p>
        </w:tc>
        <w:tc>
          <w:tcPr>
            <w:tcW w:type="dxa" w:w="2160"/>
            <w:shd w:val="clear" w:color="auto" w:fill="3B4259"/>
          </w:tcPr>
          <w:p>
            <w:r>
              <w:rPr>
                <w:rFonts w:ascii="Calibri" w:hAnsi="Calibri"/>
                <w:b/>
                <w:color w:val="FFFFFF"/>
                <w:sz w:val="22"/>
              </w:rPr>
              <w:t>TT Read-Through</w:t>
            </w:r>
          </w:p>
        </w:tc>
        <w:tc>
          <w:tcPr>
            <w:tcW w:type="dxa" w:w="2160"/>
            <w:shd w:val="clear" w:color="auto" w:fill="3B4259"/>
          </w:tcPr>
          <w:p>
            <w:r>
              <w:rPr>
                <w:rFonts w:ascii="Calibri" w:hAnsi="Calibri"/>
                <w:b/>
                <w:color w:val="FFFFFF"/>
                <w:sz w:val="22"/>
              </w:rPr>
              <w:t>Caveat</w:t>
            </w:r>
          </w:p>
        </w:tc>
      </w:tr>
      <w:tr>
        <w:tc>
          <w:tcPr>
            <w:tcW w:type="dxa" w:w="2160"/>
          </w:tcPr>
          <w:p>
            <w:r>
              <w:rPr>
                <w:rFonts w:ascii="Calibri" w:hAnsi="Calibri"/>
                <w:sz w:val="22"/>
              </w:rPr>
              <w:t>Commercial HVAC / Data Center Demand</w:t>
            </w:r>
          </w:p>
        </w:tc>
        <w:tc>
          <w:tcPr>
            <w:tcW w:type="dxa" w:w="2160"/>
          </w:tcPr>
          <w:p>
            <w:r>
              <w:rPr>
                <w:rFonts w:ascii="Calibri" w:hAnsi="Calibri"/>
                <w:sz w:val="22"/>
              </w:rPr>
              <w:t>Q2 orders up ~40% overall; commercial HVAC orders up ~65%; data center orders up 4x YoY. Total backlog &gt;$8B, up 40% YoY and 20% sequentially. FY2026 data center sales outlook raised to ~$2B (second consecutive year of doubling). "2026 data center sales forecast is all in backlog." Customers pushing for accelerated deliveries, not pushing out to 2027.</w:t>
            </w:r>
          </w:p>
        </w:tc>
        <w:tc>
          <w:tcPr>
            <w:tcW w:type="dxa" w:w="2160"/>
          </w:tcPr>
          <w:p>
            <w:r>
              <w:rPr>
                <w:rFonts w:ascii="Calibri" w:hAnsi="Calibri"/>
                <w:b/>
                <w:color w:val="30A46C"/>
                <w:sz w:val="22"/>
              </w:rPr>
              <w:t>Strongest possible positive read-through for TT's Applied/data-center bookings and backlog conversion. CARR's fully-booked H2 data center schedule mirrors TT's own backlog-to-revenue conversion narrative. Demand durability confirmed.</w:t>
            </w:r>
          </w:p>
        </w:tc>
        <w:tc>
          <w:tcPr>
            <w:tcW w:type="dxa" w:w="2160"/>
          </w:tcPr>
          <w:p>
            <w:r>
              <w:rPr>
                <w:rFonts w:ascii="Calibri" w:hAnsi="Calibri"/>
                <w:sz w:val="22"/>
              </w:rPr>
              <w:t>CARR's Q2 commercial sales were actually down due to delivery timing (H2 heavily loaded); TT may face similar lumpiness. CARR building new U.S. facility (TX/AL) — competitive capacity addition.</w:t>
            </w:r>
          </w:p>
        </w:tc>
      </w:tr>
      <w:tr>
        <w:tc>
          <w:tcPr>
            <w:tcW w:type="dxa" w:w="2160"/>
          </w:tcPr>
          <w:p>
            <w:r>
              <w:rPr>
                <w:rFonts w:ascii="Calibri" w:hAnsi="Calibri"/>
                <w:sz w:val="22"/>
              </w:rPr>
              <w:t>Residential / Light Commercial</w:t>
            </w:r>
          </w:p>
        </w:tc>
        <w:tc>
          <w:tcPr>
            <w:tcW w:type="dxa" w:w="2160"/>
          </w:tcPr>
          <w:p>
            <w:r>
              <w:rPr>
                <w:rFonts w:ascii="Calibri" w:hAnsi="Calibri"/>
                <w:sz w:val="22"/>
              </w:rPr>
              <w:t>Residential businesses (CSA and CSC) both up high single digits in Q2. Field inventory down ~25% YoY, now down ~20%. Full-year CSA resi raised to up high single digits. Light commercial up 10% in H1 (national accounts, K-12, hospitality). H2 movement expected up mid-single digits; absence of destocking contributing ~10 pts to H2 sales growth.</w:t>
            </w:r>
          </w:p>
        </w:tc>
        <w:tc>
          <w:tcPr>
            <w:tcW w:type="dxa" w:w="2160"/>
          </w:tcPr>
          <w:p>
            <w:r>
              <w:rPr>
                <w:rFonts w:ascii="Calibri" w:hAnsi="Calibri"/>
                <w:b/>
                <w:color w:val="30A46C"/>
                <w:sz w:val="22"/>
              </w:rPr>
              <w:t>Positive read-through for TT's residential segment (guided flattish for Q2, growth in H2). Channel inventory normalization and destocking tailwind in H2 are directly applicable.</w:t>
            </w:r>
          </w:p>
        </w:tc>
        <w:tc>
          <w:tcPr>
            <w:tcW w:type="dxa" w:w="2160"/>
          </w:tcPr>
          <w:p>
            <w:r>
              <w:rPr>
                <w:rFonts w:ascii="Calibri" w:hAnsi="Calibri"/>
                <w:sz w:val="22"/>
              </w:rPr>
              <w:t>CARR has more European heat pump exposure; new construction mix slightly higher than expected (lower margin). TT's residential is predominantly replacement.</w:t>
            </w:r>
          </w:p>
        </w:tc>
      </w:tr>
      <w:tr>
        <w:tc>
          <w:tcPr>
            <w:tcW w:type="dxa" w:w="2160"/>
          </w:tcPr>
          <w:p>
            <w:r>
              <w:rPr>
                <w:rFonts w:ascii="Calibri" w:hAnsi="Calibri"/>
                <w:sz w:val="22"/>
              </w:rPr>
              <w:t>Transport Refrigeration</w:t>
            </w:r>
          </w:p>
        </w:tc>
        <w:tc>
          <w:tcPr>
            <w:tcW w:type="dxa" w:w="2160"/>
          </w:tcPr>
          <w:p>
            <w:r>
              <w:rPr>
                <w:rFonts w:ascii="Calibri" w:hAnsi="Calibri"/>
                <w:sz w:val="22"/>
              </w:rPr>
              <w:t>Container business up 40% in Q2; global truck trailer down low teens. "Timing of recovery in global truck trailer remains unclear. There is clearly pent-up demand as we head into 2027."</w:t>
            </w:r>
          </w:p>
        </w:tc>
        <w:tc>
          <w:tcPr>
            <w:tcW w:type="dxa" w:w="2160"/>
          </w:tcPr>
          <w:p>
            <w:r>
              <w:rPr>
                <w:rFonts w:ascii="Calibri" w:hAnsi="Calibri"/>
                <w:b/>
                <w:color w:val="30A46C"/>
                <w:sz w:val="22"/>
              </w:rPr>
              <w:t>Mixed read-through for TT's Thermo King. Container strength is positive; truck trailer weakness confirms TT's own mid-teens Q2 transport decline guidance. 2027 pent-up demand thesis intact.</w:t>
            </w:r>
          </w:p>
        </w:tc>
        <w:tc>
          <w:tcPr>
            <w:tcW w:type="dxa" w:w="2160"/>
          </w:tcPr>
          <w:p>
            <w:r>
              <w:rPr>
                <w:rFonts w:ascii="Calibri" w:hAnsi="Calibri"/>
                <w:sz w:val="22"/>
              </w:rPr>
              <w:t>Container vs. truck trailer margin differential is a headwind for CARR; TT's transport mix may differ. Recovery timing remains uncertain.</w:t>
            </w:r>
          </w:p>
        </w:tc>
      </w:tr>
      <w:tr>
        <w:tc>
          <w:tcPr>
            <w:tcW w:type="dxa" w:w="2160"/>
          </w:tcPr>
          <w:p>
            <w:r>
              <w:rPr>
                <w:rFonts w:ascii="Calibri" w:hAnsi="Calibri"/>
                <w:sz w:val="22"/>
              </w:rPr>
              <w:t>Pricing / Tariffs</w:t>
            </w:r>
          </w:p>
        </w:tc>
        <w:tc>
          <w:tcPr>
            <w:tcW w:type="dxa" w:w="2160"/>
          </w:tcPr>
          <w:p>
            <w:r>
              <w:rPr>
                <w:rFonts w:ascii="Calibri" w:hAnsi="Calibri"/>
                <w:sz w:val="22"/>
              </w:rPr>
              <w:t>Q2 price ~3%; targeting ~4% for full year (mid-single digits in H2). Tariff/pricing impact was "net negative" in Q2 (tariffs effective early April, pricing effective end of April). Expects to recover in H2 through pricing and cost actions.</w:t>
            </w:r>
          </w:p>
        </w:tc>
        <w:tc>
          <w:tcPr>
            <w:tcW w:type="dxa" w:w="2160"/>
          </w:tcPr>
          <w:p>
            <w:r>
              <w:rPr>
                <w:rFonts w:ascii="Calibri" w:hAnsi="Calibri"/>
                <w:b/>
                <w:color w:val="30A46C"/>
                <w:sz w:val="22"/>
              </w:rPr>
              <w:t>TT's ~2 pt enterprise pricing assumption looks conservative vs. CARR's ~4% target — potential upside buffer or conservatism cushion for TT.</w:t>
            </w:r>
          </w:p>
        </w:tc>
        <w:tc>
          <w:tcPr>
            <w:tcW w:type="dxa" w:w="2160"/>
          </w:tcPr>
          <w:p>
            <w:r>
              <w:rPr>
                <w:rFonts w:ascii="Calibri" w:hAnsi="Calibri"/>
                <w:sz w:val="22"/>
              </w:rPr>
              <w:t>CARR has more European/residential exposure where pricing dynamics differ. TT's in-region manufacturing provides more structural insulation from import tariffs.</w:t>
            </w:r>
          </w:p>
        </w:tc>
      </w:tr>
      <w:tr>
        <w:tc>
          <w:tcPr>
            <w:tcW w:type="dxa" w:w="2160"/>
          </w:tcPr>
          <w:p>
            <w:r>
              <w:rPr>
                <w:rFonts w:ascii="Calibri" w:hAnsi="Calibri"/>
                <w:sz w:val="22"/>
              </w:rPr>
              <w:t>EMEA</w:t>
            </w:r>
          </w:p>
        </w:tc>
        <w:tc>
          <w:tcPr>
            <w:tcW w:type="dxa" w:w="2160"/>
          </w:tcPr>
          <w:p>
            <w:r>
              <w:rPr>
                <w:rFonts w:ascii="Calibri" w:hAnsi="Calibri"/>
                <w:sz w:val="22"/>
              </w:rPr>
              <w:t>European commercial sales lower than expected in H1; Q2 orders up 20%, strengthening backlog gives confidence in H2 up mid-single digits. Middle East delivered very strong sales growth of ~35% despite challenging environment. Resi Europe up high single digits (heat pumps +20%).</w:t>
            </w:r>
          </w:p>
        </w:tc>
        <w:tc>
          <w:tcPr>
            <w:tcW w:type="dxa" w:w="2160"/>
          </w:tcPr>
          <w:p>
            <w:r>
              <w:rPr>
                <w:rFonts w:ascii="Calibri" w:hAnsi="Calibri"/>
                <w:b/>
                <w:color w:val="30A46C"/>
                <w:sz w:val="22"/>
              </w:rPr>
              <w:t>Constructive for TT's EMEA H2 outlook; CARR's Middle East strength is a counterpoint to TT's flagged ~$50M Q2 EMEA headwind. European commercial order recovery supports TT's H2 EMEA acceleration thesis.</w:t>
            </w:r>
          </w:p>
        </w:tc>
        <w:tc>
          <w:tcPr>
            <w:tcW w:type="dxa" w:w="2160"/>
          </w:tcPr>
          <w:p>
            <w:r>
              <w:rPr>
                <w:rFonts w:ascii="Calibri" w:hAnsi="Calibri"/>
                <w:sz w:val="22"/>
              </w:rPr>
              <w:t>CARR has larger European heat pump/residential exposure. TT's EMEA headwind is specifically Middle East conflict-related, not broad European commercial weakness.</w:t>
            </w:r>
          </w:p>
        </w:tc>
      </w:tr>
      <w:tr>
        <w:tc>
          <w:tcPr>
            <w:tcW w:type="dxa" w:w="2160"/>
          </w:tcPr>
          <w:p>
            <w:r>
              <w:rPr>
                <w:rFonts w:ascii="Calibri" w:hAnsi="Calibri"/>
                <w:sz w:val="22"/>
              </w:rPr>
              <w:t>Services / Aftermarket</w:t>
            </w:r>
          </w:p>
        </w:tc>
        <w:tc>
          <w:tcPr>
            <w:tcW w:type="dxa" w:w="2160"/>
          </w:tcPr>
          <w:p>
            <w:r>
              <w:rPr>
                <w:rFonts w:ascii="Calibri" w:hAnsi="Calibri"/>
                <w:sz w:val="22"/>
              </w:rPr>
              <w:t>On track for double-digit aftermarket growth for full year (up high single digits through H1). "Rapidly increasing installed base from data centers will drive attractive aftermarket growth over the long term."</w:t>
            </w:r>
          </w:p>
        </w:tc>
        <w:tc>
          <w:tcPr>
            <w:tcW w:type="dxa" w:w="2160"/>
          </w:tcPr>
          <w:p>
            <w:r>
              <w:rPr>
                <w:rFonts w:ascii="Calibri" w:hAnsi="Calibri"/>
                <w:b/>
                <w:color w:val="30A46C"/>
                <w:sz w:val="22"/>
              </w:rPr>
              <w:t>Directly validates TT's services growth thesis (~low-teens CAGR). Data center installed base as a future service revenue driver is a shared long-term tailwind.</w:t>
            </w:r>
          </w:p>
        </w:tc>
        <w:tc>
          <w:tcPr>
            <w:tcW w:type="dxa" w:w="2160"/>
          </w:tcPr>
          <w:p>
            <w:r>
              <w:rPr>
                <w:rFonts w:ascii="Calibri" w:hAnsi="Calibri"/>
                <w:sz w:val="22"/>
              </w:rPr>
              <w:t>CARR's aftermarket mix and contract structure may differ from TT's direct service model.</w:t>
            </w:r>
          </w:p>
        </w:tc>
      </w:tr>
    </w:tbl>
    <w:p>
      <w:pPr>
        <w:pStyle w:val="Heading3"/>
      </w:pPr>
      <w:r>
        <w:rPr>
          <w:rFonts w:ascii="Calibri" w:hAnsi="Calibri"/>
          <w:b/>
          <w:color w:val="3B4259"/>
          <w:sz w:val="24"/>
        </w:rPr>
        <w:t>JCI — Johnson Controls (Tier 1: Highest Read-Through)</w:t>
      </w:r>
    </w:p>
    <w:p>
      <w:r>
        <w:rPr>
          <w:rFonts w:ascii="Calibri" w:hAnsi="Calibri"/>
          <w:b/>
          <w:color w:val="525866"/>
          <w:sz w:val="22"/>
        </w:rPr>
        <w:t xml:space="preserve">Source: JCI Q3 FY2026 Earnings Call, July 29, 2026 (JCI fiscal Q3 = calendar Q2 2026). </w:t>
      </w:r>
      <w:r>
        <w:rPr>
          <w:rFonts w:ascii="Calibri" w:hAnsi="Calibri"/>
          <w:color w:val="525866"/>
          <w:sz w:val="22"/>
        </w:rPr>
        <w:t>Relevance: Strong overlap on commercial HVAC (chillers, AHUs, CDUs), building controls/automation, data center thermal management, services, healthcare, higher education, and EMEA. JCI's fiscal Q3 FY2026 results cover the same calendar quarter (April–June 2026) as TT's Q2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JCI Commentary (Q3 FY2026 Earnings, Jul 29)</w:t>
            </w:r>
          </w:p>
        </w:tc>
        <w:tc>
          <w:tcPr>
            <w:tcW w:type="dxa" w:w="2160"/>
            <w:shd w:val="clear" w:color="auto" w:fill="3B4259"/>
          </w:tcPr>
          <w:p>
            <w:r>
              <w:rPr>
                <w:rFonts w:ascii="Calibri" w:hAnsi="Calibri"/>
                <w:b/>
                <w:color w:val="FFFFFF"/>
                <w:sz w:val="22"/>
              </w:rPr>
              <w:t>TT Read-Through</w:t>
            </w:r>
          </w:p>
        </w:tc>
        <w:tc>
          <w:tcPr>
            <w:tcW w:type="dxa" w:w="2160"/>
            <w:shd w:val="clear" w:color="auto" w:fill="3B4259"/>
          </w:tcPr>
          <w:p>
            <w:r>
              <w:rPr>
                <w:rFonts w:ascii="Calibri" w:hAnsi="Calibri"/>
                <w:b/>
                <w:color w:val="FFFFFF"/>
                <w:sz w:val="22"/>
              </w:rPr>
              <w:t>Caveat</w:t>
            </w:r>
          </w:p>
        </w:tc>
      </w:tr>
      <w:tr>
        <w:tc>
          <w:tcPr>
            <w:tcW w:type="dxa" w:w="2160"/>
          </w:tcPr>
          <w:p>
            <w:r>
              <w:rPr>
                <w:rFonts w:ascii="Calibri" w:hAnsi="Calibri"/>
                <w:sz w:val="22"/>
              </w:rPr>
              <w:t>Commercial Applied HVAC / Data Centers</w:t>
            </w:r>
          </w:p>
        </w:tc>
        <w:tc>
          <w:tcPr>
            <w:tcW w:type="dxa" w:w="2160"/>
          </w:tcPr>
          <w:p>
            <w:r>
              <w:rPr>
                <w:rFonts w:ascii="Calibri" w:hAnsi="Calibri"/>
                <w:sz w:val="22"/>
              </w:rPr>
              <w:t>Orders +27% overall; systems orders +40%; applied delivered high-teen growth supported by data center demand. Record $21B backlog, up 32% YoY. Americas orders +37% led by data centers and mission-critical environments. Introduced AI Factory Absorption Chiller Reference Design Guide demonstrating 44% reduction in cooling electrical demand. NVIDIA collaboration on reference designs.</w:t>
            </w:r>
          </w:p>
        </w:tc>
        <w:tc>
          <w:tcPr>
            <w:tcW w:type="dxa" w:w="2160"/>
          </w:tcPr>
          <w:p>
            <w:r>
              <w:rPr>
                <w:rFonts w:ascii="Calibri" w:hAnsi="Calibri"/>
                <w:b/>
                <w:color w:val="30A46C"/>
                <w:sz w:val="22"/>
              </w:rPr>
              <w:t>Best read-through for TT's Applied commercial HVAC demand and margin trajectory. JCI's record backlog and 40% systems orders growth directly validates TT's own backlog conversion story. NVIDIA reference design partnership mirrors TT's own NVIDIA collaboration.</w:t>
            </w:r>
          </w:p>
        </w:tc>
        <w:tc>
          <w:tcPr>
            <w:tcW w:type="dxa" w:w="2160"/>
          </w:tcPr>
          <w:p>
            <w:r>
              <w:rPr>
                <w:rFonts w:ascii="Calibri" w:hAnsi="Calibri"/>
                <w:sz w:val="22"/>
              </w:rPr>
              <w:t>JCI has fire/security exposure TT lacks. JCI's fiscal year offset means Q3 FY2026 = calendar Q2 2026 — timing aligns perfectly for TT read-through.</w:t>
            </w:r>
          </w:p>
        </w:tc>
      </w:tr>
      <w:tr>
        <w:tc>
          <w:tcPr>
            <w:tcW w:type="dxa" w:w="2160"/>
          </w:tcPr>
          <w:p>
            <w:r>
              <w:rPr>
                <w:rFonts w:ascii="Calibri" w:hAnsi="Calibri"/>
                <w:sz w:val="22"/>
              </w:rPr>
              <w:t>Margins / Operating Leverage</w:t>
            </w:r>
          </w:p>
        </w:tc>
        <w:tc>
          <w:tcPr>
            <w:tcW w:type="dxa" w:w="2160"/>
          </w:tcPr>
          <w:p>
            <w:r>
              <w:rPr>
                <w:rFonts w:ascii="Calibri" w:hAnsi="Calibri"/>
                <w:sz w:val="22"/>
              </w:rPr>
              <w:t>Adj. EBIT margin expanded 260 bps to 17%; adj. segment EBITDA margin expanded 220 bps to 20%. Americas adj. segment EBITDA margins expanded 260 bps to 21%. Adj. EPS +35% YoY. YTD adj. FCF $2.1B. Raised full-year guidance.</w:t>
            </w:r>
          </w:p>
        </w:tc>
        <w:tc>
          <w:tcPr>
            <w:tcW w:type="dxa" w:w="2160"/>
          </w:tcPr>
          <w:p>
            <w:r>
              <w:rPr>
                <w:rFonts w:ascii="Calibri" w:hAnsi="Calibri"/>
                <w:b/>
                <w:color w:val="30A46C"/>
                <w:sz w:val="22"/>
              </w:rPr>
              <w:t>Validates TT's high-20s H2 organic leverage guide. JCI's 260 bps margin expansion on +10% organic revenue is the clearest benchmark for TT's own margin step-up narrative in H2 2026.</w:t>
            </w:r>
          </w:p>
        </w:tc>
        <w:tc>
          <w:tcPr>
            <w:tcW w:type="dxa" w:w="2160"/>
          </w:tcPr>
          <w:p>
            <w:r>
              <w:rPr>
                <w:rFonts w:ascii="Calibri" w:hAnsi="Calibri"/>
                <w:sz w:val="22"/>
              </w:rPr>
              <w:t>JCI's margin expansion partly reflects business system improvements and mix shift specific to JCI's portfolio. TT's M&amp;A/FX headwinds (~700 bps to reported leverage) are a meaningful difference.</w:t>
            </w:r>
          </w:p>
        </w:tc>
      </w:tr>
      <w:tr>
        <w:tc>
          <w:tcPr>
            <w:tcW w:type="dxa" w:w="2160"/>
          </w:tcPr>
          <w:p>
            <w:r>
              <w:rPr>
                <w:rFonts w:ascii="Calibri" w:hAnsi="Calibri"/>
                <w:sz w:val="22"/>
              </w:rPr>
              <w:t>EMEA / Middle East</w:t>
            </w:r>
          </w:p>
        </w:tc>
        <w:tc>
          <w:tcPr>
            <w:tcW w:type="dxa" w:w="2160"/>
          </w:tcPr>
          <w:p>
            <w:r>
              <w:rPr>
                <w:rFonts w:ascii="Calibri" w:hAnsi="Calibri"/>
                <w:sz w:val="22"/>
              </w:rPr>
              <w:t>EMEA sales +1% despite ongoing Middle East conflict. EMEA orders +36% driven by high single-digit system growth. EMEA margin expanded 20 bps to 14%. Middle East described as "very challenging environment" but EMEA orders still strong.</w:t>
            </w:r>
          </w:p>
        </w:tc>
        <w:tc>
          <w:tcPr>
            <w:tcW w:type="dxa" w:w="2160"/>
          </w:tcPr>
          <w:p>
            <w:r>
              <w:rPr>
                <w:rFonts w:ascii="Calibri" w:hAnsi="Calibri"/>
                <w:b/>
                <w:color w:val="30A46C"/>
                <w:sz w:val="22"/>
              </w:rPr>
              <w:t>Most granular read-through for TT's Q2 EMEA headwind. JCI's ability to grow EMEA orders +36% despite Middle East pressure suggests the headwind is manageable and localized, not a broad EMEA demand issue.</w:t>
            </w:r>
          </w:p>
        </w:tc>
        <w:tc>
          <w:tcPr>
            <w:tcW w:type="dxa" w:w="2160"/>
          </w:tcPr>
          <w:p>
            <w:r>
              <w:rPr>
                <w:rFonts w:ascii="Calibri" w:hAnsi="Calibri"/>
                <w:sz w:val="22"/>
              </w:rPr>
              <w:t>JCI's EMEA mix (fire/security vs. HVAC) differs from TT's. TT's ~$50M Q2 EMEA revenue headwind is specifically Middle East conflict-related.</w:t>
            </w:r>
          </w:p>
        </w:tc>
      </w:tr>
      <w:tr>
        <w:tc>
          <w:tcPr>
            <w:tcW w:type="dxa" w:w="2160"/>
          </w:tcPr>
          <w:p>
            <w:r>
              <w:rPr>
                <w:rFonts w:ascii="Calibri" w:hAnsi="Calibri"/>
                <w:sz w:val="22"/>
              </w:rPr>
              <w:t>Services</w:t>
            </w:r>
          </w:p>
        </w:tc>
        <w:tc>
          <w:tcPr>
            <w:tcW w:type="dxa" w:w="2160"/>
          </w:tcPr>
          <w:p>
            <w:r>
              <w:rPr>
                <w:rFonts w:ascii="Calibri" w:hAnsi="Calibri"/>
                <w:sz w:val="22"/>
              </w:rPr>
              <w:t>Service revenue +7%; service orders +4%. "Life cycle service franchise continues to benefit from the increasing importance of uptime, reliability, protection, and energy efficiency." 70% of $21B backlog converts within 12 months.</w:t>
            </w:r>
          </w:p>
        </w:tc>
        <w:tc>
          <w:tcPr>
            <w:tcW w:type="dxa" w:w="2160"/>
          </w:tcPr>
          <w:p>
            <w:r>
              <w:rPr>
                <w:rFonts w:ascii="Calibri" w:hAnsi="Calibri"/>
                <w:b/>
                <w:color w:val="30A46C"/>
                <w:sz w:val="22"/>
              </w:rPr>
              <w:t>Positive read-through for TT's services segment (~1/3 of revenue, low-teens CAGR). JCI's service attach rate strategy and backlog conversion timeline are directly comparable.</w:t>
            </w:r>
          </w:p>
        </w:tc>
        <w:tc>
          <w:tcPr>
            <w:tcW w:type="dxa" w:w="2160"/>
          </w:tcPr>
          <w:p>
            <w:r>
              <w:rPr>
                <w:rFonts w:ascii="Calibri" w:hAnsi="Calibri"/>
                <w:sz w:val="22"/>
              </w:rPr>
              <w:t>JCI's service mix includes fire/security maintenance not present in TT's portfolio.</w:t>
            </w:r>
          </w:p>
        </w:tc>
      </w:tr>
      <w:tr>
        <w:tc>
          <w:tcPr>
            <w:tcW w:type="dxa" w:w="2160"/>
          </w:tcPr>
          <w:p>
            <w:r>
              <w:rPr>
                <w:rFonts w:ascii="Calibri" w:hAnsi="Calibri"/>
                <w:sz w:val="22"/>
              </w:rPr>
              <w:t>Non-Data Center Commercial Pipeline</w:t>
            </w:r>
          </w:p>
        </w:tc>
        <w:tc>
          <w:tcPr>
            <w:tcW w:type="dxa" w:w="2160"/>
          </w:tcPr>
          <w:p>
            <w:r>
              <w:rPr>
                <w:rFonts w:ascii="Calibri" w:hAnsi="Calibri"/>
                <w:sz w:val="22"/>
              </w:rPr>
              <w:t>"Customer demand remained healthy across our portfolio." APAC grew 15% (systems +20%). Americas organic revenue +11% led by high-teens applied HVAC growth and solid double-digit service growth.</w:t>
            </w:r>
          </w:p>
        </w:tc>
        <w:tc>
          <w:tcPr>
            <w:tcW w:type="dxa" w:w="2160"/>
          </w:tcPr>
          <w:p>
            <w:r>
              <w:rPr>
                <w:rFonts w:ascii="Calibri" w:hAnsi="Calibri"/>
                <w:b/>
                <w:color w:val="30A46C"/>
                <w:sz w:val="22"/>
              </w:rPr>
              <w:t>Confirms TT's thesis that commercial HVAC demand is broad-based beyond data centers. APAC strength is a positive read for TT's Asia Pacific segment.</w:t>
            </w:r>
          </w:p>
        </w:tc>
        <w:tc>
          <w:tcPr>
            <w:tcW w:type="dxa" w:w="2160"/>
          </w:tcPr>
          <w:p>
            <w:r>
              <w:rPr>
                <w:rFonts w:ascii="Calibri" w:hAnsi="Calibri"/>
                <w:sz w:val="22"/>
              </w:rPr>
              <w:t>JCI's APAC mix and geographic footprint differ from TT's. TT's Asia Pacific is guided flattish for 2026 (China challenging).</w:t>
            </w:r>
          </w:p>
        </w:tc>
      </w:tr>
    </w:tbl>
    <w:p>
      <w:pPr>
        <w:pStyle w:val="Heading3"/>
      </w:pPr>
      <w:r>
        <w:rPr>
          <w:rFonts w:ascii="Calibri" w:hAnsi="Calibri"/>
          <w:b/>
          <w:color w:val="3B4259"/>
          <w:sz w:val="24"/>
        </w:rPr>
        <w:t>LII — Lennox International (Tier 2: Strong Residential &amp; Light Commercial Read-Through)</w:t>
      </w:r>
    </w:p>
    <w:p>
      <w:r>
        <w:rPr>
          <w:rFonts w:ascii="Calibri" w:hAnsi="Calibri"/>
          <w:b/>
          <w:color w:val="525866"/>
          <w:sz w:val="22"/>
        </w:rPr>
        <w:t xml:space="preserve">Source: LII Q2 2026 Earnings Call, July 29, 2026. </w:t>
      </w:r>
      <w:r>
        <w:rPr>
          <w:rFonts w:ascii="Calibri" w:hAnsi="Calibri"/>
          <w:color w:val="525866"/>
          <w:sz w:val="22"/>
        </w:rPr>
        <w:t>Relevance: Cleanest residential HVAC read-through with no data center noise. Also provides light commercial and services commentary. LII has zero data center exposure, so its commentary is purely a residential/light commercial signal.</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LII Commentary (Q2 2026 Earnings, Jul 29)</w:t>
            </w:r>
          </w:p>
        </w:tc>
        <w:tc>
          <w:tcPr>
            <w:tcW w:type="dxa" w:w="2160"/>
            <w:shd w:val="clear" w:color="auto" w:fill="3B4259"/>
          </w:tcPr>
          <w:p>
            <w:r>
              <w:rPr>
                <w:rFonts w:ascii="Calibri" w:hAnsi="Calibri"/>
                <w:b/>
                <w:color w:val="FFFFFF"/>
                <w:sz w:val="22"/>
              </w:rPr>
              <w:t>TT Read-Through</w:t>
            </w:r>
          </w:p>
        </w:tc>
        <w:tc>
          <w:tcPr>
            <w:tcW w:type="dxa" w:w="2160"/>
            <w:shd w:val="clear" w:color="auto" w:fill="3B4259"/>
          </w:tcPr>
          <w:p>
            <w:r>
              <w:rPr>
                <w:rFonts w:ascii="Calibri" w:hAnsi="Calibri"/>
                <w:b/>
                <w:color w:val="FFFFFF"/>
                <w:sz w:val="22"/>
              </w:rPr>
              <w:t>Caveat</w:t>
            </w:r>
          </w:p>
        </w:tc>
      </w:tr>
      <w:tr>
        <w:tc>
          <w:tcPr>
            <w:tcW w:type="dxa" w:w="2160"/>
          </w:tcPr>
          <w:p>
            <w:r>
              <w:rPr>
                <w:rFonts w:ascii="Calibri" w:hAnsi="Calibri"/>
                <w:sz w:val="22"/>
              </w:rPr>
              <w:t>Residential Channel Inventory &amp; Demand</w:t>
            </w:r>
          </w:p>
        </w:tc>
        <w:tc>
          <w:tcPr>
            <w:tcW w:type="dxa" w:w="2160"/>
          </w:tcPr>
          <w:p>
            <w:r>
              <w:rPr>
                <w:rFonts w:ascii="Calibri" w:hAnsi="Calibri"/>
                <w:sz w:val="22"/>
              </w:rPr>
              <w:t>"Channel inventory is pretty normalized and there's no more destocking." Residential unit volumes -12% YoY in Q2 (improvement from -21% in Q1). Two-step volumes relatively flat; one-step down mid-teens (driven by new construction walk-away). Sell-through "remains weak, but is improving both sequentially." Meaningful recovery now expected in 2027 rather than H2 2026. Full-year HCS revenue guidance cut to ~+1% (from +4%).</w:t>
            </w:r>
          </w:p>
        </w:tc>
        <w:tc>
          <w:tcPr>
            <w:tcW w:type="dxa" w:w="2160"/>
          </w:tcPr>
          <w:p>
            <w:r>
              <w:rPr>
                <w:rFonts w:ascii="Calibri" w:hAnsi="Calibri"/>
                <w:b/>
                <w:color w:val="E5484D"/>
                <w:sz w:val="22"/>
              </w:rPr>
              <w:t>Channel inventory normalization is a positive read for TT's residential segment. However, LII's push of meaningful recovery to 2027 is a risk flag for TT's residential H2 growth assumption. TT guided residential flattish for FY2026 — LII's data suggests that bar is achievable but H2 upside may be limited.</w:t>
            </w:r>
          </w:p>
        </w:tc>
        <w:tc>
          <w:tcPr>
            <w:tcW w:type="dxa" w:w="2160"/>
          </w:tcPr>
          <w:p>
            <w:r>
              <w:rPr>
                <w:rFonts w:ascii="Calibri" w:hAnsi="Calibri"/>
                <w:sz w:val="22"/>
              </w:rPr>
              <w:t>LII's residential decline is partly self-inflicted (strategic exit from low-margin new construction business). TT does not have the same new construction walk-away dynamic. LII's direct-to-dealer model may have different channel dynamics than TT's distribution.</w:t>
            </w:r>
          </w:p>
        </w:tc>
      </w:tr>
      <w:tr>
        <w:tc>
          <w:tcPr>
            <w:tcW w:type="dxa" w:w="2160"/>
          </w:tcPr>
          <w:p>
            <w:r>
              <w:rPr>
                <w:rFonts w:ascii="Calibri" w:hAnsi="Calibri"/>
                <w:sz w:val="22"/>
              </w:rPr>
              <w:t>Light Commercial / BCS</w:t>
            </w:r>
          </w:p>
        </w:tc>
        <w:tc>
          <w:tcPr>
            <w:tcW w:type="dxa" w:w="2160"/>
          </w:tcPr>
          <w:p>
            <w:r>
              <w:rPr>
                <w:rFonts w:ascii="Calibri" w:hAnsi="Calibri"/>
                <w:sz w:val="22"/>
              </w:rPr>
              <w:t>BCS (commercial) revenue +24% (organic +12%). "Seeing signs of progress across commercial end markets, momentum in emergency replacement and strong execution." Full-year BCS guidance raised to ~20% growth (from 16%). "Market not declining anymore and showing some signs of life." Share gains in emergency replacement and national accounts.</w:t>
            </w:r>
          </w:p>
        </w:tc>
        <w:tc>
          <w:tcPr>
            <w:tcW w:type="dxa" w:w="2160"/>
          </w:tcPr>
          <w:p>
            <w:r>
              <w:rPr>
                <w:rFonts w:ascii="Calibri" w:hAnsi="Calibri"/>
                <w:b/>
                <w:color w:val="30A46C"/>
                <w:sz w:val="22"/>
              </w:rPr>
              <w:t>Positive read-through for TT's light commercial and commercial HVAC segments. Market recovery in commercial is confirmed by a pure-play peer with no data center noise.</w:t>
            </w:r>
          </w:p>
        </w:tc>
        <w:tc>
          <w:tcPr>
            <w:tcW w:type="dxa" w:w="2160"/>
          </w:tcPr>
          <w:p>
            <w:r>
              <w:rPr>
                <w:rFonts w:ascii="Calibri" w:hAnsi="Calibri"/>
                <w:sz w:val="22"/>
              </w:rPr>
              <w:t>LII's commercial growth is partly share-gain driven, not purely market growth. LII does not compete in chiller-based data center cooling.</w:t>
            </w:r>
          </w:p>
        </w:tc>
      </w:tr>
      <w:tr>
        <w:tc>
          <w:tcPr>
            <w:tcW w:type="dxa" w:w="2160"/>
          </w:tcPr>
          <w:p>
            <w:r>
              <w:rPr>
                <w:rFonts w:ascii="Calibri" w:hAnsi="Calibri"/>
                <w:sz w:val="22"/>
              </w:rPr>
              <w:t>Pricing / Tariffs</w:t>
            </w:r>
          </w:p>
        </w:tc>
        <w:tc>
          <w:tcPr>
            <w:tcW w:type="dxa" w:w="2160"/>
          </w:tcPr>
          <w:p>
            <w:r>
              <w:rPr>
                <w:rFonts w:ascii="Calibri" w:hAnsi="Calibri"/>
                <w:sz w:val="22"/>
              </w:rPr>
              <w:t>~$25M of tariff refunds in HCS and ~$5M in BCS recognized in Q2 (pulled forward from H2). 232 tariff pricing effective July 1. Full-year inflation assumption maintained at ~5%. Productivity target reduced to ~$60M (from $75M) due to absorption headwinds and tariff mitigation resource diversion.</w:t>
            </w:r>
          </w:p>
        </w:tc>
        <w:tc>
          <w:tcPr>
            <w:tcW w:type="dxa" w:w="2160"/>
          </w:tcPr>
          <w:p>
            <w:r>
              <w:rPr>
                <w:rFonts w:ascii="Calibri" w:hAnsi="Calibri"/>
                <w:b/>
                <w:color w:val="30A46C"/>
                <w:sz w:val="22"/>
              </w:rPr>
              <w:t>Tariff refunds are a one-time benefit that pulled forward margin; TT may have similar dynamics. LII's ~2 pt pricing benchmark aligns with TT's enterprise pricing assumption.</w:t>
            </w:r>
          </w:p>
        </w:tc>
        <w:tc>
          <w:tcPr>
            <w:tcW w:type="dxa" w:w="2160"/>
          </w:tcPr>
          <w:p>
            <w:r>
              <w:rPr>
                <w:rFonts w:ascii="Calibri" w:hAnsi="Calibri"/>
                <w:sz w:val="22"/>
              </w:rPr>
              <w:t>LII's tariff exposure (232 on metals, Canada/Mexico) may differ from TT's. TT's predominantly U.S. manufacturing provides more structural insulation.</w:t>
            </w:r>
          </w:p>
        </w:tc>
      </w:tr>
    </w:tbl>
    <w:p>
      <w:pPr>
        <w:pStyle w:val="Heading3"/>
      </w:pPr>
      <w:r>
        <w:rPr>
          <w:rFonts w:ascii="Calibri" w:hAnsi="Calibri"/>
          <w:b/>
          <w:color w:val="3B4259"/>
          <w:sz w:val="24"/>
        </w:rPr>
        <w:t>AAON — AAON Inc. (Tier 2: Data Center Cooling Corroboration)</w:t>
      </w:r>
    </w:p>
    <w:p>
      <w:r>
        <w:rPr>
          <w:rFonts w:ascii="Calibri" w:hAnsi="Calibri"/>
          <w:b/>
          <w:color w:val="525866"/>
          <w:sz w:val="22"/>
        </w:rPr>
        <w:t xml:space="preserve">Source: AAON William Blair Growth Stock Conference, June 2, 2026. </w:t>
      </w:r>
      <w:r>
        <w:rPr>
          <w:rFonts w:ascii="Calibri" w:hAnsi="Calibri"/>
          <w:color w:val="525866"/>
          <w:sz w:val="22"/>
        </w:rPr>
        <w:t>Relevance: Best pure-play data center cooling corroboration (BASX segment). Validates TT's data center demand thesis and capacity expansion strategy. No transport refrigeration, no building controls, no meaningful international exposure.</w:t>
      </w:r>
    </w:p>
    <w:p>
      <w:pPr>
        <w:pStyle w:val="ListBullet"/>
        <w:ind w:left="360" w:hanging="360"/>
      </w:pPr>
      <w:r>
        <w:rPr>
          <w:rFonts w:ascii="Calibri" w:hAnsi="Calibri"/>
          <w:b/>
          <w:color w:val="525866"/>
          <w:sz w:val="22"/>
        </w:rPr>
        <w:t>Data center demand broad-based and sustained:</w:t>
      </w:r>
      <w:r>
        <w:rPr>
          <w:rFonts w:ascii="Calibri" w:hAnsi="Calibri"/>
          <w:color w:val="525866"/>
          <w:sz w:val="22"/>
        </w:rPr>
        <w:t xml:space="preserve"> AAON raised its consolidated growth guidance to ~40% YoY (from high teens) at Q1 2026. BASX (data center) segment targeting &gt;$1B in capacity. "Demand has been there for the last 3 quarters." Demand encompasses traditional airside products, chillers, AND liquid cooling — "even a liquid-cooled data center, you're still going to have to buy 30% to 40% of your capacity via air." </w:t>
      </w:r>
      <w:r>
        <w:rPr>
          <w:rFonts w:ascii="Calibri" w:hAnsi="Calibri"/>
          <w:i/>
          <w:color w:val="525866"/>
          <w:sz w:val="22"/>
        </w:rPr>
        <w:t>TT read-through:</w:t>
      </w:r>
      <w:r>
        <w:rPr>
          <w:rFonts w:ascii="Calibri" w:hAnsi="Calibri"/>
          <w:color w:val="525866"/>
          <w:sz w:val="22"/>
        </w:rPr>
        <w:t xml:space="preserve"> Directly validates TT's thesis that chiller demand is durable regardless of liquid cooling adoption. Source: AAON William Blair Conference, June 2, 2026.</w:t>
      </w:r>
    </w:p>
    <w:p>
      <w:pPr>
        <w:pStyle w:val="ListBullet"/>
        <w:ind w:left="360" w:hanging="360"/>
      </w:pPr>
      <w:r>
        <w:rPr>
          <w:rFonts w:ascii="Calibri" w:hAnsi="Calibri"/>
          <w:b/>
          <w:color w:val="525866"/>
          <w:sz w:val="22"/>
        </w:rPr>
        <w:t>Capacity expansion discipline:</w:t>
      </w:r>
      <w:r>
        <w:rPr>
          <w:rFonts w:ascii="Calibri" w:hAnsi="Calibri"/>
          <w:color w:val="525866"/>
          <w:sz w:val="22"/>
        </w:rPr>
        <w:t xml:space="preserve"> AAON's Memphis facility (800K sq ft) ramping with 4 vacant production lines ready to activate. "Surety of supply" approach — not overcommitting capacity before execution is proven. </w:t>
      </w:r>
      <w:r>
        <w:rPr>
          <w:rFonts w:ascii="Calibri" w:hAnsi="Calibri"/>
          <w:i/>
          <w:color w:val="525866"/>
          <w:sz w:val="22"/>
        </w:rPr>
        <w:t>TT read-through:</w:t>
      </w:r>
      <w:r>
        <w:rPr>
          <w:rFonts w:ascii="Calibri" w:hAnsi="Calibri"/>
          <w:color w:val="525866"/>
          <w:sz w:val="22"/>
        </w:rPr>
        <w:t xml:space="preserve"> Mirrors TT's own capacity expansion approach (Stellar Energy FL expansion + new TX site). Disciplined ramp-up is the right strategy; execution risk is manageable. Source: AAON William Blair Conference, June 2, 2026.</w:t>
      </w:r>
    </w:p>
    <w:p>
      <w:pPr>
        <w:pStyle w:val="ListBullet"/>
        <w:ind w:left="360" w:hanging="360"/>
      </w:pPr>
      <w:r>
        <w:rPr>
          <w:rFonts w:ascii="Calibri" w:hAnsi="Calibri"/>
          <w:b/>
          <w:color w:val="525866"/>
          <w:sz w:val="22"/>
        </w:rPr>
        <w:t>Light commercial recovery underway:</w:t>
      </w:r>
      <w:r>
        <w:rPr>
          <w:rFonts w:ascii="Calibri" w:hAnsi="Calibri"/>
          <w:color w:val="525866"/>
          <w:sz w:val="22"/>
        </w:rPr>
        <w:t xml:space="preserve"> "Signs of recovery inside the commercial HVAC market." Q1 2026 bookings strength in transactional light commercial market. "We see '26 as being a good strong recovery year for the AAON side of the business and definitely see it being a market share capture year." </w:t>
      </w:r>
      <w:r>
        <w:rPr>
          <w:rFonts w:ascii="Calibri" w:hAnsi="Calibri"/>
          <w:i/>
          <w:color w:val="525866"/>
          <w:sz w:val="22"/>
        </w:rPr>
        <w:t>TT read-through:</w:t>
      </w:r>
      <w:r>
        <w:rPr>
          <w:rFonts w:ascii="Calibri" w:hAnsi="Calibri"/>
          <w:color w:val="525866"/>
          <w:sz w:val="22"/>
        </w:rPr>
        <w:t xml:space="preserve"> Corroborates TT's broad-based commercial HVAC demand thesis beyond data centers. Source: AAON William Blair Conference, June 2, 2026.</w:t>
      </w:r>
    </w:p>
    <w:p>
      <w:pPr>
        <w:pStyle w:val="ListBullet"/>
        <w:ind w:left="360" w:hanging="360"/>
      </w:pPr>
      <w:r>
        <w:rPr>
          <w:rFonts w:ascii="Calibri" w:hAnsi="Calibri"/>
          <w:b/>
          <w:color w:val="525866"/>
          <w:sz w:val="22"/>
        </w:rPr>
        <w:t>Margin pressure from rapid growth (idiosyncratic — do NOT read through to TT):</w:t>
      </w:r>
      <w:r>
        <w:rPr>
          <w:rFonts w:ascii="Calibri" w:hAnsi="Calibri"/>
          <w:color w:val="525866"/>
          <w:sz w:val="22"/>
        </w:rPr>
        <w:t xml:space="preserve"> AAON experienced ~200 bps margin depression in Q1 from coil outsourcing and ERP implementation. This is specific to AAON's internal operational challenges and should NOT be read through to TT's margin trajectory. TT's margin framework (25%+ organic leverage, high-20s in H2) is independently supported by its own business operating system.</w:t>
      </w:r>
    </w:p>
    <w:p>
      <w:pPr>
        <w:pStyle w:val="Heading3"/>
      </w:pPr>
      <w:r>
        <w:rPr>
          <w:rFonts w:ascii="Calibri" w:hAnsi="Calibri"/>
          <w:b/>
          <w:color w:val="3B4259"/>
          <w:sz w:val="24"/>
        </w:rPr>
        <w:t>SPXC — SPX Technologies (Tier 3: Data Center Architecture &amp; Applied HVAC Color)</w:t>
      </w:r>
    </w:p>
    <w:p>
      <w:r>
        <w:rPr>
          <w:rFonts w:ascii="Calibri" w:hAnsi="Calibri"/>
          <w:b/>
          <w:color w:val="525866"/>
          <w:sz w:val="22"/>
        </w:rPr>
        <w:t xml:space="preserve">Source: SPXC BofA 33rd Annual Industrials Conference, May 13, 2026. </w:t>
      </w:r>
      <w:r>
        <w:rPr>
          <w:rFonts w:ascii="Calibri" w:hAnsi="Calibri"/>
          <w:color w:val="525866"/>
          <w:sz w:val="22"/>
        </w:rPr>
        <w:t>Relevance: Useful for data center cooling architecture debate and applied HVAC demand. No residential or transport exposure. Limited international read-through.</w:t>
      </w:r>
    </w:p>
    <w:p>
      <w:pPr>
        <w:pStyle w:val="ListBullet"/>
        <w:ind w:left="360" w:hanging="360"/>
      </w:pPr>
      <w:r>
        <w:rPr>
          <w:rFonts w:ascii="Calibri" w:hAnsi="Calibri"/>
          <w:b/>
          <w:color w:val="525866"/>
          <w:sz w:val="22"/>
        </w:rPr>
        <w:t>Data center demand "very dramatic" with 70% YoY growth:</w:t>
      </w:r>
      <w:r>
        <w:rPr>
          <w:rFonts w:ascii="Calibri" w:hAnsi="Calibri"/>
          <w:color w:val="525866"/>
          <w:sz w:val="22"/>
        </w:rPr>
        <w:t xml:space="preserve"> SPXC guided data center revenue to $350M for 2026 (up from prior guidance). "As I look ahead to '27 and '28 and even into '30, we just see a very attractive opportunity." Opened two new facilities (Nashville, Madison AL) adding ~$700M of data center capacity. </w:t>
      </w:r>
      <w:r>
        <w:rPr>
          <w:rFonts w:ascii="Calibri" w:hAnsi="Calibri"/>
          <w:i/>
          <w:color w:val="525866"/>
          <w:sz w:val="22"/>
        </w:rPr>
        <w:t>TT read-through:</w:t>
      </w:r>
      <w:r>
        <w:rPr>
          <w:rFonts w:ascii="Calibri" w:hAnsi="Calibri"/>
          <w:color w:val="525866"/>
          <w:sz w:val="22"/>
        </w:rPr>
        <w:t xml:space="preserve"> Corroborates multi-year data center demand durability. Capacity payback of &lt;2 years validates TT's CapEx increase to 2–3% of revenue. Source: SPXC BofA Conference, May 13, 2026.</w:t>
      </w:r>
    </w:p>
    <w:p>
      <w:pPr>
        <w:pStyle w:val="ListBullet"/>
        <w:ind w:left="360" w:hanging="360"/>
      </w:pPr>
      <w:r>
        <w:rPr>
          <w:rFonts w:ascii="Calibri" w:hAnsi="Calibri"/>
          <w:b/>
          <w:color w:val="525866"/>
          <w:sz w:val="22"/>
        </w:rPr>
        <w:t>"Switzerland" on liquid vs. air cooling architecture:</w:t>
      </w:r>
      <w:r>
        <w:rPr>
          <w:rFonts w:ascii="Calibri" w:hAnsi="Calibri"/>
          <w:color w:val="525866"/>
          <w:sz w:val="22"/>
        </w:rPr>
        <w:t xml:space="preserve"> "As the heat load goes up, you need more cooling to extract and reject that heat." SPXC's technology-agnostic positioning on external heat rejection is useful color on the liquid vs. air cooling debate. </w:t>
      </w:r>
      <w:r>
        <w:rPr>
          <w:rFonts w:ascii="Calibri" w:hAnsi="Calibri"/>
          <w:i/>
          <w:color w:val="525866"/>
          <w:sz w:val="22"/>
        </w:rPr>
        <w:t>TT read-through:</w:t>
      </w:r>
      <w:r>
        <w:rPr>
          <w:rFonts w:ascii="Calibri" w:hAnsi="Calibri"/>
          <w:color w:val="525866"/>
          <w:sz w:val="22"/>
        </w:rPr>
        <w:t xml:space="preserve"> Supports TT's management assertion that "I haven't seen any reference designs or data center of the future that does not have a chiller in it." Chiller demand is structurally durable. Source: SPXC BofA Conference, May 13, 2026.</w:t>
      </w:r>
    </w:p>
    <w:p>
      <w:pPr>
        <w:pStyle w:val="ListBullet"/>
        <w:ind w:left="360" w:hanging="360"/>
      </w:pPr>
      <w:r>
        <w:rPr>
          <w:rFonts w:ascii="Calibri" w:hAnsi="Calibri"/>
          <w:b/>
          <w:color w:val="525866"/>
          <w:sz w:val="22"/>
        </w:rPr>
        <w:t>Tariff mitigation through real-time pricing:</w:t>
      </w:r>
      <w:r>
        <w:rPr>
          <w:rFonts w:ascii="Calibri" w:hAnsi="Calibri"/>
          <w:color w:val="525866"/>
          <w:sz w:val="22"/>
        </w:rPr>
        <w:t xml:space="preserve"> "Almost everything we sell is engineered to order, configured to order. So that gives us the flexibility in our pricing, right? We're pricing oftentimes real time." Confident in mitigating tariff impact in H2 2026 with no expected impact in 2027. </w:t>
      </w:r>
      <w:r>
        <w:rPr>
          <w:rFonts w:ascii="Calibri" w:hAnsi="Calibri"/>
          <w:i/>
          <w:color w:val="525866"/>
          <w:sz w:val="22"/>
        </w:rPr>
        <w:t>TT read-through:</w:t>
      </w:r>
      <w:r>
        <w:rPr>
          <w:rFonts w:ascii="Calibri" w:hAnsi="Calibri"/>
          <w:color w:val="525866"/>
          <w:sz w:val="22"/>
        </w:rPr>
        <w:t xml:space="preserve"> Validates TT's own tariff mitigation strategy through pricing and supply chain. Applied/engineered-to-order products have more pricing flexibility than commodity HVAC. Source: SPXC BofA Conference, May 13, 2026.</w:t>
      </w:r>
    </w:p>
    <w:p>
      <w:pPr>
        <w:pStyle w:val="ListBullet"/>
        <w:ind w:left="360" w:hanging="360"/>
      </w:pPr>
      <w:r>
        <w:rPr>
          <w:rFonts w:ascii="Calibri" w:hAnsi="Calibri"/>
          <w:b/>
          <w:color w:val="525866"/>
          <w:sz w:val="22"/>
        </w:rPr>
        <w:t>General commercial HVAC "kind of slow" (idiosyncratic — limited read-through):</w:t>
      </w:r>
      <w:r>
        <w:rPr>
          <w:rFonts w:ascii="Calibri" w:hAnsi="Calibri"/>
          <w:color w:val="525866"/>
          <w:sz w:val="22"/>
        </w:rPr>
        <w:t xml:space="preserve"> SPXC noted general commercial (non-data center) has been "kind of slow." This is likely specific to SPXC's niche product positioning and should not be read as a broad commercial HVAC market signal, given CARR's +65% commercial orders and JCI's +40% systems orders.</w:t>
      </w:r>
    </w:p>
    <w:p>
      <w:pPr>
        <w:pStyle w:val="Heading3"/>
      </w:pPr>
      <w:r>
        <w:rPr>
          <w:rFonts w:ascii="Calibri" w:hAnsi="Calibri"/>
          <w:b/>
          <w:color w:val="3B4259"/>
          <w:sz w:val="24"/>
        </w:rPr>
        <w:t>Peer Read-Through Summary Matrix</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Theme</w:t>
            </w:r>
          </w:p>
        </w:tc>
        <w:tc>
          <w:tcPr>
            <w:tcW w:type="dxa" w:w="1234"/>
            <w:shd w:val="clear" w:color="auto" w:fill="3B4259"/>
          </w:tcPr>
          <w:p>
            <w:r>
              <w:rPr>
                <w:rFonts w:ascii="Calibri" w:hAnsi="Calibri"/>
                <w:b/>
                <w:color w:val="FFFFFF"/>
                <w:sz w:val="22"/>
              </w:rPr>
              <w:t>CARR (Jul 28)</w:t>
            </w:r>
          </w:p>
        </w:tc>
        <w:tc>
          <w:tcPr>
            <w:tcW w:type="dxa" w:w="1234"/>
            <w:shd w:val="clear" w:color="auto" w:fill="3B4259"/>
          </w:tcPr>
          <w:p>
            <w:r>
              <w:rPr>
                <w:rFonts w:ascii="Calibri" w:hAnsi="Calibri"/>
                <w:b/>
                <w:color w:val="FFFFFF"/>
                <w:sz w:val="22"/>
              </w:rPr>
              <w:t>JCI (Jul 29)</w:t>
            </w:r>
          </w:p>
        </w:tc>
        <w:tc>
          <w:tcPr>
            <w:tcW w:type="dxa" w:w="1234"/>
            <w:shd w:val="clear" w:color="auto" w:fill="3B4259"/>
          </w:tcPr>
          <w:p>
            <w:r>
              <w:rPr>
                <w:rFonts w:ascii="Calibri" w:hAnsi="Calibri"/>
                <w:b/>
                <w:color w:val="FFFFFF"/>
                <w:sz w:val="22"/>
              </w:rPr>
              <w:t>LII (Jul 29)</w:t>
            </w:r>
          </w:p>
        </w:tc>
        <w:tc>
          <w:tcPr>
            <w:tcW w:type="dxa" w:w="1234"/>
            <w:shd w:val="clear" w:color="auto" w:fill="3B4259"/>
          </w:tcPr>
          <w:p>
            <w:r>
              <w:rPr>
                <w:rFonts w:ascii="Calibri" w:hAnsi="Calibri"/>
                <w:b/>
                <w:color w:val="FFFFFF"/>
                <w:sz w:val="22"/>
              </w:rPr>
              <w:t>AAON (Jun 2)</w:t>
            </w:r>
          </w:p>
        </w:tc>
        <w:tc>
          <w:tcPr>
            <w:tcW w:type="dxa" w:w="1234"/>
            <w:shd w:val="clear" w:color="auto" w:fill="3B4259"/>
          </w:tcPr>
          <w:p>
            <w:r>
              <w:rPr>
                <w:rFonts w:ascii="Calibri" w:hAnsi="Calibri"/>
                <w:b/>
                <w:color w:val="FFFFFF"/>
                <w:sz w:val="22"/>
              </w:rPr>
              <w:t>SPXC (May 13)</w:t>
            </w:r>
          </w:p>
        </w:tc>
        <w:tc>
          <w:tcPr>
            <w:tcW w:type="dxa" w:w="1234"/>
            <w:shd w:val="clear" w:color="auto" w:fill="3B4259"/>
          </w:tcPr>
          <w:p>
            <w:r>
              <w:rPr>
                <w:rFonts w:ascii="Calibri" w:hAnsi="Calibri"/>
                <w:b/>
                <w:color w:val="FFFFFF"/>
                <w:sz w:val="22"/>
              </w:rPr>
              <w:t>Net Signal for TT</w:t>
            </w:r>
          </w:p>
        </w:tc>
      </w:tr>
      <w:tr>
        <w:tc>
          <w:tcPr>
            <w:tcW w:type="dxa" w:w="1234"/>
          </w:tcPr>
          <w:p>
            <w:r>
              <w:rPr>
                <w:rFonts w:ascii="Calibri" w:hAnsi="Calibri"/>
                <w:sz w:val="22"/>
              </w:rPr>
              <w:t>Data Center / Applied HVAC Demand</w:t>
            </w:r>
          </w:p>
        </w:tc>
        <w:tc>
          <w:tcPr>
            <w:tcW w:type="dxa" w:w="1234"/>
          </w:tcPr>
          <w:p>
            <w:r>
              <w:rPr>
                <w:rFonts w:ascii="Calibri" w:hAnsi="Calibri"/>
                <w:sz w:val="22"/>
              </w:rPr>
              <w:t>⬆️⬆️ Orders +65%</w:t>
            </w:r>
          </w:p>
        </w:tc>
        <w:tc>
          <w:tcPr>
            <w:tcW w:type="dxa" w:w="1234"/>
          </w:tcPr>
          <w:p>
            <w:r>
              <w:rPr>
                <w:rFonts w:ascii="Calibri" w:hAnsi="Calibri"/>
                <w:sz w:val="22"/>
              </w:rPr>
              <w:t>⬆️⬆️ Orders +40%</w:t>
            </w:r>
          </w:p>
        </w:tc>
        <w:tc>
          <w:tcPr>
            <w:tcW w:type="dxa" w:w="1234"/>
          </w:tcPr>
          <w:p>
            <w:r>
              <w:rPr>
                <w:rFonts w:ascii="Calibri" w:hAnsi="Calibri"/>
                <w:sz w:val="22"/>
              </w:rPr>
              <w:t>N/A</w:t>
            </w:r>
          </w:p>
        </w:tc>
        <w:tc>
          <w:tcPr>
            <w:tcW w:type="dxa" w:w="1234"/>
          </w:tcPr>
          <w:p>
            <w:r>
              <w:rPr>
                <w:rFonts w:ascii="Calibri" w:hAnsi="Calibri"/>
                <w:sz w:val="22"/>
              </w:rPr>
              <w:t>⬆️ +40% growth</w:t>
            </w:r>
          </w:p>
        </w:tc>
        <w:tc>
          <w:tcPr>
            <w:tcW w:type="dxa" w:w="1234"/>
          </w:tcPr>
          <w:p>
            <w:r>
              <w:rPr>
                <w:rFonts w:ascii="Calibri" w:hAnsi="Calibri"/>
                <w:sz w:val="22"/>
              </w:rPr>
              <w:t>⬆️ +70% growth</w:t>
            </w:r>
          </w:p>
        </w:tc>
        <w:tc>
          <w:tcPr>
            <w:tcW w:type="dxa" w:w="1234"/>
          </w:tcPr>
          <w:p>
            <w:r>
              <w:rPr>
                <w:rFonts w:ascii="Calibri" w:hAnsi="Calibri"/>
                <w:b/>
                <w:color w:val="30A46C"/>
                <w:sz w:val="22"/>
              </w:rPr>
              <w:t>Very Positive</w:t>
            </w:r>
          </w:p>
        </w:tc>
      </w:tr>
      <w:tr>
        <w:tc>
          <w:tcPr>
            <w:tcW w:type="dxa" w:w="1234"/>
          </w:tcPr>
          <w:p>
            <w:r>
              <w:rPr>
                <w:rFonts w:ascii="Calibri" w:hAnsi="Calibri"/>
                <w:sz w:val="22"/>
              </w:rPr>
              <w:t>Residential Channel / Demand</w:t>
            </w:r>
          </w:p>
        </w:tc>
        <w:tc>
          <w:tcPr>
            <w:tcW w:type="dxa" w:w="1234"/>
          </w:tcPr>
          <w:p>
            <w:r>
              <w:rPr>
                <w:rFonts w:ascii="Calibri" w:hAnsi="Calibri"/>
                <w:sz w:val="22"/>
              </w:rPr>
              <w:t>⬆️ Inventory -25% YoY; resi up HSD</w:t>
            </w:r>
          </w:p>
        </w:tc>
        <w:tc>
          <w:tcPr>
            <w:tcW w:type="dxa" w:w="1234"/>
          </w:tcPr>
          <w:p>
            <w:r>
              <w:rPr>
                <w:rFonts w:ascii="Calibri" w:hAnsi="Calibri"/>
                <w:sz w:val="22"/>
              </w:rPr>
              <w:t>N/A</w:t>
            </w:r>
          </w:p>
        </w:tc>
        <w:tc>
          <w:tcPr>
            <w:tcW w:type="dxa" w:w="1234"/>
          </w:tcPr>
          <w:p>
            <w:r>
              <w:rPr>
                <w:rFonts w:ascii="Calibri" w:hAnsi="Calibri"/>
                <w:sz w:val="22"/>
              </w:rPr>
              <w:t>➡️ Normalized; recovery to 2027</w:t>
            </w:r>
          </w:p>
        </w:tc>
        <w:tc>
          <w:tcPr>
            <w:tcW w:type="dxa" w:w="1234"/>
          </w:tcPr>
          <w:p>
            <w:r>
              <w:rPr>
                <w:rFonts w:ascii="Calibri" w:hAnsi="Calibri"/>
                <w:sz w:val="22"/>
              </w:rPr>
              <w:t>⬆️ Light commercial recovery</w:t>
            </w:r>
          </w:p>
        </w:tc>
        <w:tc>
          <w:tcPr>
            <w:tcW w:type="dxa" w:w="1234"/>
          </w:tcPr>
          <w:p>
            <w:r>
              <w:rPr>
                <w:rFonts w:ascii="Calibri" w:hAnsi="Calibri"/>
                <w:sz w:val="22"/>
              </w:rPr>
              <w:t>N/A</w:t>
            </w:r>
          </w:p>
        </w:tc>
        <w:tc>
          <w:tcPr>
            <w:tcW w:type="dxa" w:w="1234"/>
          </w:tcPr>
          <w:p>
            <w:r>
              <w:rPr>
                <w:rFonts w:ascii="Calibri" w:hAnsi="Calibri"/>
                <w:b/>
                <w:color w:val="E5484D"/>
                <w:sz w:val="22"/>
              </w:rPr>
              <w:t>Mixed — channel OK, recovery timing risk</w:t>
            </w:r>
          </w:p>
        </w:tc>
      </w:tr>
      <w:tr>
        <w:tc>
          <w:tcPr>
            <w:tcW w:type="dxa" w:w="1234"/>
          </w:tcPr>
          <w:p>
            <w:r>
              <w:rPr>
                <w:rFonts w:ascii="Calibri" w:hAnsi="Calibri"/>
                <w:sz w:val="22"/>
              </w:rPr>
              <w:t>Transport Refrigeration</w:t>
            </w:r>
          </w:p>
        </w:tc>
        <w:tc>
          <w:tcPr>
            <w:tcW w:type="dxa" w:w="1234"/>
          </w:tcPr>
          <w:p>
            <w:r>
              <w:rPr>
                <w:rFonts w:ascii="Calibri" w:hAnsi="Calibri"/>
                <w:sz w:val="22"/>
              </w:rPr>
              <w:t>➡️ Container +40%; truck trailer -LDD</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Mixed — pent-up demand for 2027</w:t>
            </w:r>
          </w:p>
        </w:tc>
      </w:tr>
      <w:tr>
        <w:tc>
          <w:tcPr>
            <w:tcW w:type="dxa" w:w="1234"/>
          </w:tcPr>
          <w:p>
            <w:r>
              <w:rPr>
                <w:rFonts w:ascii="Calibri" w:hAnsi="Calibri"/>
                <w:sz w:val="22"/>
              </w:rPr>
              <w:t>H2 Margin Step-Up</w:t>
            </w:r>
          </w:p>
        </w:tc>
        <w:tc>
          <w:tcPr>
            <w:tcW w:type="dxa" w:w="1234"/>
          </w:tcPr>
          <w:p>
            <w:r>
              <w:rPr>
                <w:rFonts w:ascii="Calibri" w:hAnsi="Calibri"/>
                <w:sz w:val="22"/>
              </w:rPr>
              <w:t>⬆️ H2 op. profit +50% YoY</w:t>
            </w:r>
          </w:p>
        </w:tc>
        <w:tc>
          <w:tcPr>
            <w:tcW w:type="dxa" w:w="1234"/>
          </w:tcPr>
          <w:p>
            <w:r>
              <w:rPr>
                <w:rFonts w:ascii="Calibri" w:hAnsi="Calibri"/>
                <w:sz w:val="22"/>
              </w:rPr>
              <w:t>⬆️ +260 bps EBIT expansion</w:t>
            </w:r>
          </w:p>
        </w:tc>
        <w:tc>
          <w:tcPr>
            <w:tcW w:type="dxa" w:w="1234"/>
          </w:tcPr>
          <w:p>
            <w:r>
              <w:rPr>
                <w:rFonts w:ascii="Calibri" w:hAnsi="Calibri"/>
                <w:sz w:val="22"/>
              </w:rPr>
              <w:t>➡️ Absorption headwinds</w:t>
            </w:r>
          </w:p>
        </w:tc>
        <w:tc>
          <w:tcPr>
            <w:tcW w:type="dxa" w:w="1234"/>
          </w:tcPr>
          <w:p>
            <w:r>
              <w:rPr>
                <w:rFonts w:ascii="Calibri" w:hAnsi="Calibri"/>
                <w:sz w:val="22"/>
              </w:rPr>
              <w:t>➡️ Margin recovery in progress</w:t>
            </w:r>
          </w:p>
        </w:tc>
        <w:tc>
          <w:tcPr>
            <w:tcW w:type="dxa" w:w="1234"/>
          </w:tcPr>
          <w:p>
            <w:r>
              <w:rPr>
                <w:rFonts w:ascii="Calibri" w:hAnsi="Calibri"/>
                <w:sz w:val="22"/>
              </w:rPr>
              <w:t>N/A</w:t>
            </w:r>
          </w:p>
        </w:tc>
        <w:tc>
          <w:tcPr>
            <w:tcW w:type="dxa" w:w="1234"/>
          </w:tcPr>
          <w:p>
            <w:r>
              <w:rPr>
                <w:rFonts w:ascii="Calibri" w:hAnsi="Calibri"/>
                <w:b/>
                <w:color w:val="30A46C"/>
                <w:sz w:val="22"/>
              </w:rPr>
              <w:t>Positive — peers validating H2 leverage</w:t>
            </w:r>
          </w:p>
        </w:tc>
      </w:tr>
      <w:tr>
        <w:tc>
          <w:tcPr>
            <w:tcW w:type="dxa" w:w="1234"/>
          </w:tcPr>
          <w:p>
            <w:r>
              <w:rPr>
                <w:rFonts w:ascii="Calibri" w:hAnsi="Calibri"/>
                <w:sz w:val="22"/>
              </w:rPr>
              <w:t>Tariff / Pricing Net-Net</w:t>
            </w:r>
          </w:p>
        </w:tc>
        <w:tc>
          <w:tcPr>
            <w:tcW w:type="dxa" w:w="1234"/>
          </w:tcPr>
          <w:p>
            <w:r>
              <w:rPr>
                <w:rFonts w:ascii="Calibri" w:hAnsi="Calibri"/>
                <w:sz w:val="22"/>
              </w:rPr>
              <w:t>➡️ Net negative Q2; recovering H2</w:t>
            </w:r>
          </w:p>
        </w:tc>
        <w:tc>
          <w:tcPr>
            <w:tcW w:type="dxa" w:w="1234"/>
          </w:tcPr>
          <w:p>
            <w:r>
              <w:rPr>
                <w:rFonts w:ascii="Calibri" w:hAnsi="Calibri"/>
                <w:sz w:val="22"/>
              </w:rPr>
              <w:t>N/A</w:t>
            </w:r>
          </w:p>
        </w:tc>
        <w:tc>
          <w:tcPr>
            <w:tcW w:type="dxa" w:w="1234"/>
          </w:tcPr>
          <w:p>
            <w:r>
              <w:rPr>
                <w:rFonts w:ascii="Calibri" w:hAnsi="Calibri"/>
                <w:sz w:val="22"/>
              </w:rPr>
              <w:t>➡️ Refunds pulled forward; 5% inflation</w:t>
            </w:r>
          </w:p>
        </w:tc>
        <w:tc>
          <w:tcPr>
            <w:tcW w:type="dxa" w:w="1234"/>
          </w:tcPr>
          <w:p>
            <w:r>
              <w:rPr>
                <w:rFonts w:ascii="Calibri" w:hAnsi="Calibri"/>
                <w:sz w:val="22"/>
              </w:rPr>
              <w:t>⬆️ Pricing actions in place</w:t>
            </w:r>
          </w:p>
        </w:tc>
        <w:tc>
          <w:tcPr>
            <w:tcW w:type="dxa" w:w="1234"/>
          </w:tcPr>
          <w:p>
            <w:r>
              <w:rPr>
                <w:rFonts w:ascii="Calibri" w:hAnsi="Calibri"/>
                <w:sz w:val="22"/>
              </w:rPr>
              <w:t>⬆️ Real-time pricing flexibility</w:t>
            </w:r>
          </w:p>
        </w:tc>
        <w:tc>
          <w:tcPr>
            <w:tcW w:type="dxa" w:w="1234"/>
          </w:tcPr>
          <w:p>
            <w:r>
              <w:rPr>
                <w:rFonts w:ascii="Calibri" w:hAnsi="Calibri"/>
                <w:sz w:val="22"/>
              </w:rPr>
              <w:t>Neutral-to-Positive — manageable</w:t>
            </w:r>
          </w:p>
        </w:tc>
      </w:tr>
      <w:tr>
        <w:tc>
          <w:tcPr>
            <w:tcW w:type="dxa" w:w="1234"/>
          </w:tcPr>
          <w:p>
            <w:r>
              <w:rPr>
                <w:rFonts w:ascii="Calibri" w:hAnsi="Calibri"/>
                <w:sz w:val="22"/>
              </w:rPr>
              <w:t>EMEA</w:t>
            </w:r>
          </w:p>
        </w:tc>
        <w:tc>
          <w:tcPr>
            <w:tcW w:type="dxa" w:w="1234"/>
          </w:tcPr>
          <w:p>
            <w:r>
              <w:rPr>
                <w:rFonts w:ascii="Calibri" w:hAnsi="Calibri"/>
                <w:sz w:val="22"/>
              </w:rPr>
              <w:t>⬆️ Orders +20%; Middle East +35%</w:t>
            </w:r>
          </w:p>
        </w:tc>
        <w:tc>
          <w:tcPr>
            <w:tcW w:type="dxa" w:w="1234"/>
          </w:tcPr>
          <w:p>
            <w:r>
              <w:rPr>
                <w:rFonts w:ascii="Calibri" w:hAnsi="Calibri"/>
                <w:sz w:val="22"/>
              </w:rPr>
              <w:t>➡️ Sales +1%; Middle East challenging</w:t>
            </w:r>
          </w:p>
        </w:tc>
        <w:tc>
          <w:tcPr>
            <w:tcW w:type="dxa" w:w="1234"/>
          </w:tcPr>
          <w:p>
            <w:r>
              <w:rPr>
                <w:rFonts w:ascii="Calibri" w:hAnsi="Calibri"/>
                <w:sz w:val="22"/>
              </w:rPr>
              <w:t>⬆️ Stuttgart capacity helping</w:t>
            </w:r>
          </w:p>
        </w:tc>
        <w:tc>
          <w:tcPr>
            <w:tcW w:type="dxa" w:w="1234"/>
          </w:tcPr>
          <w:p>
            <w:r>
              <w:rPr>
                <w:rFonts w:ascii="Calibri" w:hAnsi="Calibri"/>
                <w:sz w:val="22"/>
              </w:rPr>
              <w:t>N/A</w:t>
            </w:r>
          </w:p>
        </w:tc>
        <w:tc>
          <w:tcPr>
            <w:tcW w:type="dxa" w:w="1234"/>
          </w:tcPr>
          <w:p>
            <w:r>
              <w:rPr>
                <w:rFonts w:ascii="Calibri" w:hAnsi="Calibri"/>
                <w:sz w:val="22"/>
              </w:rPr>
              <w:t>➡️ Europe flat past 2 years</w:t>
            </w:r>
          </w:p>
        </w:tc>
        <w:tc>
          <w:tcPr>
            <w:tcW w:type="dxa" w:w="1234"/>
          </w:tcPr>
          <w:p>
            <w:r>
              <w:rPr>
                <w:rFonts w:ascii="Calibri" w:hAnsi="Calibri"/>
                <w:sz w:val="22"/>
              </w:rPr>
              <w:t>Mixed — H2 recovery expected; Q2 headwind confirmed</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